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FC71C0" w:rsidRDefault="00E77CB3"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E77CB3" w:rsidRPr="00FC71C0" w:rsidRDefault="00802E33" w:rsidP="00FC71C0">
      <w:pPr>
        <w:jc w:val="center"/>
        <w:rPr>
          <w:lang w:val="fr-FR"/>
        </w:rPr>
      </w:pPr>
      <w:r w:rsidRPr="00FC71C0">
        <w:rPr>
          <w:lang w:val="fr-FR"/>
        </w:rPr>
        <w:t>DEUXIÈME SECTION</w:t>
      </w:r>
    </w:p>
    <w:p w:rsidR="00E77CB3" w:rsidRPr="00FC71C0" w:rsidRDefault="00E77CB3"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E77CB3" w:rsidRPr="00FC71C0" w:rsidRDefault="00E77CB3" w:rsidP="00FC71C0">
      <w:pPr>
        <w:jc w:val="center"/>
        <w:rPr>
          <w:b/>
          <w:lang w:val="fr-FR"/>
        </w:rPr>
      </w:pPr>
      <w:bookmarkStart w:id="0" w:name="To"/>
      <w:r w:rsidRPr="00FC71C0">
        <w:rPr>
          <w:b/>
          <w:lang w:val="fr-FR"/>
        </w:rPr>
        <w:t xml:space="preserve">AFFAIRE </w:t>
      </w:r>
      <w:bookmarkEnd w:id="0"/>
      <w:r w:rsidR="00093A1F" w:rsidRPr="00FC71C0">
        <w:rPr>
          <w:b/>
          <w:lang w:val="fr-FR"/>
        </w:rPr>
        <w:t xml:space="preserve">MANUELLO ET NEVI </w:t>
      </w:r>
      <w:r w:rsidR="00802E33" w:rsidRPr="00FC71C0">
        <w:rPr>
          <w:b/>
          <w:lang w:val="fr-FR"/>
        </w:rPr>
        <w:t>c. ITALIE</w:t>
      </w:r>
    </w:p>
    <w:p w:rsidR="00E77CB3" w:rsidRPr="00FC71C0" w:rsidRDefault="00E77CB3" w:rsidP="00FC71C0">
      <w:pPr>
        <w:jc w:val="center"/>
        <w:rPr>
          <w:lang w:val="fr-FR"/>
        </w:rPr>
      </w:pPr>
    </w:p>
    <w:p w:rsidR="00093A1F" w:rsidRPr="00FC71C0" w:rsidRDefault="00E77CB3" w:rsidP="00FC71C0">
      <w:pPr>
        <w:jc w:val="center"/>
        <w:rPr>
          <w:lang w:val="fr-FR"/>
        </w:rPr>
      </w:pPr>
      <w:r w:rsidRPr="00FC71C0">
        <w:rPr>
          <w:i/>
          <w:lang w:val="fr-FR"/>
        </w:rPr>
        <w:t>(</w:t>
      </w:r>
      <w:r w:rsidR="00802E33" w:rsidRPr="00FC71C0">
        <w:rPr>
          <w:i/>
          <w:lang w:val="fr-FR"/>
        </w:rPr>
        <w:t>Requête n</w:t>
      </w:r>
      <w:r w:rsidR="00802E33" w:rsidRPr="00FC71C0">
        <w:rPr>
          <w:i/>
          <w:vertAlign w:val="superscript"/>
          <w:lang w:val="fr-FR"/>
        </w:rPr>
        <w:t>o</w:t>
      </w:r>
      <w:r w:rsidR="00802E33" w:rsidRPr="00FC71C0">
        <w:rPr>
          <w:i/>
          <w:lang w:val="fr-FR"/>
        </w:rPr>
        <w:t xml:space="preserve"> 107/10</w:t>
      </w:r>
      <w:r w:rsidRPr="00FC71C0">
        <w:rPr>
          <w:i/>
          <w:lang w:val="fr-FR"/>
        </w:rPr>
        <w:t>)</w:t>
      </w: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r w:rsidRPr="00FC71C0">
        <w:rPr>
          <w:lang w:val="fr-FR"/>
        </w:rPr>
        <w:t>ARRÊT</w:t>
      </w:r>
    </w:p>
    <w:p w:rsidR="0039406D" w:rsidRPr="00FC71C0" w:rsidRDefault="0039406D" w:rsidP="00FC71C0">
      <w:pPr>
        <w:jc w:val="center"/>
        <w:rPr>
          <w:lang w:val="fr-FR"/>
        </w:rPr>
      </w:pPr>
    </w:p>
    <w:p w:rsidR="00F27E2E" w:rsidRPr="00FC71C0" w:rsidRDefault="00F27E2E"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p>
    <w:p w:rsidR="00093A1F" w:rsidRPr="00FC71C0" w:rsidRDefault="00093A1F" w:rsidP="00FC71C0">
      <w:pPr>
        <w:jc w:val="center"/>
        <w:rPr>
          <w:lang w:val="fr-FR"/>
        </w:rPr>
      </w:pPr>
      <w:r w:rsidRPr="00FC71C0">
        <w:rPr>
          <w:lang w:val="fr-FR"/>
        </w:rPr>
        <w:t>STRASBOURG</w:t>
      </w:r>
    </w:p>
    <w:p w:rsidR="00093A1F" w:rsidRPr="00FC71C0" w:rsidRDefault="00093A1F" w:rsidP="00FC71C0">
      <w:pPr>
        <w:jc w:val="center"/>
        <w:rPr>
          <w:lang w:val="fr-FR"/>
        </w:rPr>
      </w:pPr>
    </w:p>
    <w:p w:rsidR="00FC71C0" w:rsidRPr="00FC71C0" w:rsidRDefault="00093A1F" w:rsidP="00FC71C0">
      <w:pPr>
        <w:jc w:val="center"/>
        <w:rPr>
          <w:lang w:val="fr-FR"/>
        </w:rPr>
      </w:pPr>
      <w:r w:rsidRPr="00FC71C0">
        <w:rPr>
          <w:lang w:val="fr-FR"/>
        </w:rPr>
        <w:t>20 janvier 2015</w:t>
      </w:r>
    </w:p>
    <w:p w:rsidR="00093A1F" w:rsidRPr="00FC71C0" w:rsidRDefault="00093A1F" w:rsidP="00FC71C0">
      <w:pPr>
        <w:jc w:val="center"/>
        <w:rPr>
          <w:lang w:val="fr-FR"/>
        </w:rPr>
      </w:pPr>
    </w:p>
    <w:p w:rsidR="00093A1F" w:rsidRPr="00FC71C0" w:rsidRDefault="00093A1F" w:rsidP="00FC71C0">
      <w:pPr>
        <w:jc w:val="center"/>
        <w:rPr>
          <w:lang w:val="fr-FR"/>
        </w:rPr>
      </w:pPr>
    </w:p>
    <w:p w:rsidR="00F27E2E" w:rsidRPr="00FC71C0" w:rsidRDefault="00093A1F" w:rsidP="00FC71C0">
      <w:pPr>
        <w:rPr>
          <w:lang w:val="fr-FR"/>
        </w:rPr>
      </w:pPr>
      <w:r w:rsidRPr="00FC71C0">
        <w:rPr>
          <w:i/>
          <w:sz w:val="22"/>
          <w:lang w:val="fr-FR"/>
        </w:rPr>
        <w:t>Cet arrêt deviendra définitif dans les conditions définies à l</w:t>
      </w:r>
      <w:r w:rsidR="00F20289">
        <w:rPr>
          <w:i/>
          <w:sz w:val="22"/>
          <w:lang w:val="fr-FR"/>
        </w:rPr>
        <w:t>’</w:t>
      </w:r>
      <w:r w:rsidRPr="00FC71C0">
        <w:rPr>
          <w:i/>
          <w:sz w:val="22"/>
          <w:lang w:val="fr-FR"/>
        </w:rPr>
        <w:t>article 44 § 2 de la Convention. Il peut subir des retouches de forme.</w:t>
      </w:r>
    </w:p>
    <w:p w:rsidR="00093A1F" w:rsidRPr="00FC71C0" w:rsidRDefault="00093A1F" w:rsidP="00FC71C0">
      <w:pPr>
        <w:pStyle w:val="JuCase"/>
        <w:rPr>
          <w:lang w:val="fr-FR"/>
        </w:rPr>
        <w:sectPr w:rsidR="00093A1F" w:rsidRPr="00FC71C0" w:rsidSect="00093A1F">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E77CB3" w:rsidRPr="00FC71C0" w:rsidRDefault="00E77CB3" w:rsidP="00FC71C0">
      <w:pPr>
        <w:pStyle w:val="JuCase"/>
        <w:rPr>
          <w:lang w:val="fr-FR"/>
        </w:rPr>
      </w:pPr>
      <w:r w:rsidRPr="00FC71C0">
        <w:rPr>
          <w:lang w:val="fr-FR"/>
        </w:rPr>
        <w:t>En l</w:t>
      </w:r>
      <w:r w:rsidR="00F20289">
        <w:rPr>
          <w:lang w:val="fr-FR"/>
        </w:rPr>
        <w:t>’</w:t>
      </w:r>
      <w:r w:rsidRPr="00FC71C0">
        <w:rPr>
          <w:lang w:val="fr-FR"/>
        </w:rPr>
        <w:t xml:space="preserve">affaire </w:t>
      </w:r>
      <w:r w:rsidR="00802E33" w:rsidRPr="00FC71C0">
        <w:rPr>
          <w:lang w:val="fr-FR"/>
        </w:rPr>
        <w:t>Manuello et Nevi c. Italie</w:t>
      </w:r>
      <w:r w:rsidRPr="00FC71C0">
        <w:rPr>
          <w:lang w:val="fr-FR"/>
        </w:rPr>
        <w:t>,</w:t>
      </w:r>
    </w:p>
    <w:p w:rsidR="00E77CB3" w:rsidRPr="00FC71C0" w:rsidRDefault="00E77CB3" w:rsidP="00FC71C0">
      <w:pPr>
        <w:pStyle w:val="ECHRPara"/>
        <w:rPr>
          <w:lang w:val="fr-FR"/>
        </w:rPr>
      </w:pPr>
      <w:r w:rsidRPr="00FC71C0">
        <w:rPr>
          <w:lang w:val="fr-FR"/>
        </w:rPr>
        <w:t>La Cour européenne des droits de l</w:t>
      </w:r>
      <w:r w:rsidR="00F20289">
        <w:rPr>
          <w:lang w:val="fr-FR"/>
        </w:rPr>
        <w:t>’</w:t>
      </w:r>
      <w:r w:rsidRPr="00FC71C0">
        <w:rPr>
          <w:lang w:val="fr-FR"/>
        </w:rPr>
        <w:t>homme (</w:t>
      </w:r>
      <w:r w:rsidR="00802E33" w:rsidRPr="00FC71C0">
        <w:rPr>
          <w:lang w:val="fr-FR"/>
        </w:rPr>
        <w:t>deuxième section</w:t>
      </w:r>
      <w:r w:rsidRPr="00FC71C0">
        <w:rPr>
          <w:lang w:val="fr-FR"/>
        </w:rPr>
        <w:t xml:space="preserve">), siégeant en </w:t>
      </w:r>
      <w:r w:rsidR="00802E33" w:rsidRPr="00FC71C0">
        <w:rPr>
          <w:lang w:val="fr-FR"/>
        </w:rPr>
        <w:t>une chambre composée</w:t>
      </w:r>
      <w:r w:rsidRPr="00FC71C0">
        <w:rPr>
          <w:lang w:val="fr-FR"/>
        </w:rPr>
        <w:t xml:space="preserve"> de :</w:t>
      </w:r>
    </w:p>
    <w:p w:rsidR="00E77CB3" w:rsidRPr="00FC71C0" w:rsidRDefault="00093A1F" w:rsidP="00FC71C0">
      <w:pPr>
        <w:pStyle w:val="ECHRDecisionBody"/>
        <w:rPr>
          <w:lang w:val="fr-FR"/>
        </w:rPr>
      </w:pPr>
      <w:r w:rsidRPr="00FC71C0">
        <w:rPr>
          <w:lang w:val="fr-FR"/>
        </w:rPr>
        <w:tab/>
        <w:t>Işıl Karakaş</w:t>
      </w:r>
      <w:r w:rsidRPr="00FC71C0">
        <w:rPr>
          <w:i/>
          <w:lang w:val="fr-FR"/>
        </w:rPr>
        <w:t>,</w:t>
      </w:r>
      <w:r w:rsidRPr="00FC71C0">
        <w:rPr>
          <w:lang w:val="fr-FR"/>
        </w:rPr>
        <w:t xml:space="preserve"> </w:t>
      </w:r>
      <w:r w:rsidRPr="00FC71C0">
        <w:rPr>
          <w:i/>
          <w:lang w:val="fr-FR"/>
        </w:rPr>
        <w:t>présidente</w:t>
      </w:r>
      <w:r w:rsidRPr="00FC71C0">
        <w:rPr>
          <w:lang w:val="fr-FR"/>
        </w:rPr>
        <w:t>,</w:t>
      </w:r>
      <w:r w:rsidRPr="00FC71C0">
        <w:rPr>
          <w:i/>
          <w:lang w:val="fr-FR"/>
        </w:rPr>
        <w:br/>
      </w:r>
      <w:r w:rsidRPr="00FC71C0">
        <w:rPr>
          <w:lang w:val="fr-FR"/>
        </w:rPr>
        <w:tab/>
        <w:t>Guido Raimondi,</w:t>
      </w:r>
      <w:r w:rsidRPr="00FC71C0">
        <w:rPr>
          <w:i/>
          <w:lang w:val="fr-FR"/>
        </w:rPr>
        <w:br/>
      </w:r>
      <w:r w:rsidRPr="00FC71C0">
        <w:rPr>
          <w:lang w:val="fr-FR"/>
        </w:rPr>
        <w:tab/>
        <w:t>András Sajó,</w:t>
      </w:r>
      <w:r w:rsidRPr="00FC71C0">
        <w:rPr>
          <w:i/>
          <w:lang w:val="fr-FR"/>
        </w:rPr>
        <w:br/>
      </w:r>
      <w:r w:rsidRPr="00FC71C0">
        <w:rPr>
          <w:lang w:val="fr-FR"/>
        </w:rPr>
        <w:tab/>
        <w:t>Nebojša Vučinić,</w:t>
      </w:r>
      <w:r w:rsidRPr="00FC71C0">
        <w:rPr>
          <w:i/>
          <w:lang w:val="fr-FR"/>
        </w:rPr>
        <w:br/>
      </w:r>
      <w:r w:rsidRPr="00FC71C0">
        <w:rPr>
          <w:lang w:val="fr-FR"/>
        </w:rPr>
        <w:tab/>
        <w:t>Egidijus Kūris,</w:t>
      </w:r>
      <w:r w:rsidRPr="00FC71C0">
        <w:rPr>
          <w:i/>
          <w:lang w:val="fr-FR"/>
        </w:rPr>
        <w:br/>
      </w:r>
      <w:r w:rsidRPr="00FC71C0">
        <w:rPr>
          <w:lang w:val="fr-FR"/>
        </w:rPr>
        <w:tab/>
        <w:t>Robert Spano,</w:t>
      </w:r>
      <w:r w:rsidRPr="00FC71C0">
        <w:rPr>
          <w:i/>
          <w:lang w:val="fr-FR"/>
        </w:rPr>
        <w:br/>
      </w:r>
      <w:r w:rsidRPr="00FC71C0">
        <w:rPr>
          <w:lang w:val="fr-FR"/>
        </w:rPr>
        <w:tab/>
      </w:r>
      <w:r w:rsidR="00FC7914" w:rsidRPr="00FC71C0">
        <w:rPr>
          <w:lang w:val="fr-FR"/>
        </w:rPr>
        <w:t>Jon Fridrik Kj</w:t>
      </w:r>
      <w:r w:rsidR="00FC7914" w:rsidRPr="00FC71C0">
        <w:rPr>
          <w:rFonts w:cstheme="minorHAnsi"/>
          <w:lang w:val="fr-FR"/>
        </w:rPr>
        <w:t>ø</w:t>
      </w:r>
      <w:r w:rsidR="00FC7914" w:rsidRPr="00FC71C0">
        <w:rPr>
          <w:lang w:val="fr-FR"/>
        </w:rPr>
        <w:t>lbro</w:t>
      </w:r>
      <w:r w:rsidRPr="00FC71C0">
        <w:rPr>
          <w:lang w:val="fr-FR"/>
        </w:rPr>
        <w:t>,</w:t>
      </w:r>
      <w:r w:rsidRPr="00FC71C0">
        <w:rPr>
          <w:i/>
          <w:lang w:val="fr-FR"/>
        </w:rPr>
        <w:t xml:space="preserve"> juges,</w:t>
      </w:r>
      <w:r w:rsidRPr="00FC71C0">
        <w:rPr>
          <w:i/>
          <w:lang w:val="fr-FR"/>
        </w:rPr>
        <w:br/>
      </w:r>
      <w:r w:rsidR="00E77CB3" w:rsidRPr="00FC71C0">
        <w:rPr>
          <w:lang w:val="fr-FR"/>
        </w:rPr>
        <w:t xml:space="preserve">et de </w:t>
      </w:r>
      <w:r w:rsidR="00802E33" w:rsidRPr="00FC71C0">
        <w:rPr>
          <w:lang w:val="fr-FR"/>
        </w:rPr>
        <w:t>Stanley Naismith</w:t>
      </w:r>
      <w:r w:rsidR="00E77CB3" w:rsidRPr="00FC71C0">
        <w:rPr>
          <w:lang w:val="fr-FR"/>
        </w:rPr>
        <w:t xml:space="preserve">, </w:t>
      </w:r>
      <w:r w:rsidR="00802E33" w:rsidRPr="00FC71C0">
        <w:rPr>
          <w:i/>
          <w:lang w:val="fr-FR"/>
        </w:rPr>
        <w:t>greffier</w:t>
      </w:r>
      <w:r w:rsidR="00802E33" w:rsidRPr="00FC71C0">
        <w:rPr>
          <w:iCs/>
          <w:lang w:val="fr-FR"/>
        </w:rPr>
        <w:t xml:space="preserve"> </w:t>
      </w:r>
      <w:r w:rsidR="00802E33" w:rsidRPr="00FC71C0">
        <w:rPr>
          <w:i/>
          <w:iCs/>
          <w:lang w:val="fr-FR"/>
        </w:rPr>
        <w:t>d</w:t>
      </w:r>
      <w:r w:rsidR="00802E33" w:rsidRPr="00FC71C0">
        <w:rPr>
          <w:i/>
          <w:lang w:val="fr-FR"/>
        </w:rPr>
        <w:t>e section</w:t>
      </w:r>
      <w:r w:rsidR="00E77CB3" w:rsidRPr="00FC71C0">
        <w:rPr>
          <w:i/>
          <w:lang w:val="fr-FR"/>
        </w:rPr>
        <w:t>,</w:t>
      </w:r>
    </w:p>
    <w:p w:rsidR="00E77CB3" w:rsidRPr="00FC71C0" w:rsidRDefault="00E77CB3" w:rsidP="00FC71C0">
      <w:pPr>
        <w:pStyle w:val="ECHRPara"/>
        <w:rPr>
          <w:lang w:val="fr-FR"/>
        </w:rPr>
      </w:pPr>
      <w:r w:rsidRPr="00FC71C0">
        <w:rPr>
          <w:lang w:val="fr-FR"/>
        </w:rPr>
        <w:t xml:space="preserve">Après en avoir délibéré en chambre du conseil le </w:t>
      </w:r>
      <w:r w:rsidR="00093A1F" w:rsidRPr="00FC71C0">
        <w:rPr>
          <w:lang w:val="fr-FR"/>
        </w:rPr>
        <w:t>9 décembre 2014</w:t>
      </w:r>
      <w:r w:rsidRPr="00FC71C0">
        <w:rPr>
          <w:lang w:val="fr-FR"/>
        </w:rPr>
        <w:t>,</w:t>
      </w:r>
    </w:p>
    <w:p w:rsidR="00E77CB3" w:rsidRPr="00FC71C0" w:rsidRDefault="00E77CB3" w:rsidP="00FC71C0">
      <w:pPr>
        <w:pStyle w:val="ECHRPara"/>
        <w:rPr>
          <w:lang w:val="fr-FR"/>
        </w:rPr>
      </w:pPr>
      <w:r w:rsidRPr="00FC71C0">
        <w:rPr>
          <w:lang w:val="fr-FR"/>
        </w:rPr>
        <w:t>Rend l</w:t>
      </w:r>
      <w:r w:rsidR="00F20289">
        <w:rPr>
          <w:lang w:val="fr-FR"/>
        </w:rPr>
        <w:t>’</w:t>
      </w:r>
      <w:r w:rsidRPr="00FC71C0">
        <w:rPr>
          <w:lang w:val="fr-FR"/>
        </w:rPr>
        <w:t>arrêt que voici, adopté à cette date :</w:t>
      </w:r>
    </w:p>
    <w:p w:rsidR="00E77CB3" w:rsidRPr="00FC71C0" w:rsidRDefault="00E77CB3" w:rsidP="00FC71C0">
      <w:pPr>
        <w:pStyle w:val="ECHRTitle1"/>
        <w:rPr>
          <w:lang w:val="fr-FR"/>
        </w:rPr>
      </w:pPr>
      <w:r w:rsidRPr="00FC71C0">
        <w:rPr>
          <w:lang w:val="fr-FR"/>
        </w:rPr>
        <w:t>PROCÉDURE</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w:t>
      </w:r>
      <w:r w:rsidRPr="00FC71C0">
        <w:rPr>
          <w:lang w:val="fr-FR"/>
        </w:rPr>
        <w:fldChar w:fldCharType="end"/>
      </w:r>
      <w:r w:rsidR="00E77CB3" w:rsidRPr="00FC71C0">
        <w:rPr>
          <w:lang w:val="fr-FR"/>
        </w:rPr>
        <w:t>.  À l</w:t>
      </w:r>
      <w:r w:rsidR="00F20289">
        <w:rPr>
          <w:lang w:val="fr-FR"/>
        </w:rPr>
        <w:t>’</w:t>
      </w:r>
      <w:r w:rsidR="00E77CB3" w:rsidRPr="00FC71C0">
        <w:rPr>
          <w:lang w:val="fr-FR"/>
        </w:rPr>
        <w:t>origine de l</w:t>
      </w:r>
      <w:r w:rsidR="00F20289">
        <w:rPr>
          <w:lang w:val="fr-FR"/>
        </w:rPr>
        <w:t>’</w:t>
      </w:r>
      <w:r w:rsidR="00E77CB3" w:rsidRPr="00FC71C0">
        <w:rPr>
          <w:lang w:val="fr-FR"/>
        </w:rPr>
        <w:t xml:space="preserve">affaire </w:t>
      </w:r>
      <w:r w:rsidRPr="00FC71C0">
        <w:rPr>
          <w:lang w:val="fr-FR"/>
        </w:rPr>
        <w:t>se trouve une requête (n</w:t>
      </w:r>
      <w:r w:rsidR="00093A1F" w:rsidRPr="00FC71C0">
        <w:rPr>
          <w:vertAlign w:val="superscript"/>
          <w:lang w:val="fr-FR"/>
        </w:rPr>
        <w:t>o</w:t>
      </w:r>
      <w:r w:rsidR="008068D5" w:rsidRPr="00FC71C0">
        <w:rPr>
          <w:lang w:val="fr-FR"/>
        </w:rPr>
        <w:t> </w:t>
      </w:r>
      <w:r w:rsidRPr="00FC71C0">
        <w:rPr>
          <w:lang w:val="fr-FR"/>
        </w:rPr>
        <w:t>107/10) dirigée</w:t>
      </w:r>
      <w:r w:rsidR="00E77CB3" w:rsidRPr="00FC71C0">
        <w:rPr>
          <w:lang w:val="fr-FR"/>
        </w:rPr>
        <w:t xml:space="preserve"> contre </w:t>
      </w:r>
      <w:r w:rsidRPr="00FC71C0">
        <w:rPr>
          <w:lang w:val="fr-FR"/>
        </w:rPr>
        <w:t>la République italienne</w:t>
      </w:r>
      <w:r w:rsidR="00E77CB3" w:rsidRPr="00FC71C0">
        <w:rPr>
          <w:lang w:val="fr-FR"/>
        </w:rPr>
        <w:t xml:space="preserve"> et dont </w:t>
      </w:r>
      <w:r w:rsidR="000F384C" w:rsidRPr="00FC71C0">
        <w:rPr>
          <w:lang w:val="fr-FR"/>
        </w:rPr>
        <w:t xml:space="preserve">deux ressortissants de cet État, </w:t>
      </w:r>
      <w:r w:rsidR="005C7DFB" w:rsidRPr="00FC71C0">
        <w:rPr>
          <w:lang w:val="fr-FR"/>
        </w:rPr>
        <w:t>M</w:t>
      </w:r>
      <w:r w:rsidR="005C7DFB" w:rsidRPr="00FC71C0">
        <w:rPr>
          <w:vertAlign w:val="superscript"/>
          <w:lang w:val="fr-FR"/>
        </w:rPr>
        <w:t>me</w:t>
      </w:r>
      <w:r w:rsidR="008068D5" w:rsidRPr="00FC71C0">
        <w:rPr>
          <w:lang w:val="fr-FR"/>
        </w:rPr>
        <w:t> </w:t>
      </w:r>
      <w:r w:rsidR="007A78A4" w:rsidRPr="00FC71C0">
        <w:rPr>
          <w:lang w:val="fr-FR"/>
        </w:rPr>
        <w:t xml:space="preserve">Franca </w:t>
      </w:r>
      <w:r w:rsidR="005C7DFB" w:rsidRPr="00FC71C0">
        <w:rPr>
          <w:lang w:val="fr-FR"/>
        </w:rPr>
        <w:t>Manuello et M.</w:t>
      </w:r>
      <w:r w:rsidR="008068D5" w:rsidRPr="00FC71C0">
        <w:rPr>
          <w:lang w:val="fr-FR"/>
        </w:rPr>
        <w:t> </w:t>
      </w:r>
      <w:r w:rsidR="007A78A4" w:rsidRPr="00FC71C0">
        <w:rPr>
          <w:lang w:val="fr-FR"/>
        </w:rPr>
        <w:t xml:space="preserve">Paolo </w:t>
      </w:r>
      <w:r w:rsidR="005C7DFB" w:rsidRPr="00FC71C0">
        <w:rPr>
          <w:lang w:val="fr-FR"/>
        </w:rPr>
        <w:t>Nevi</w:t>
      </w:r>
      <w:r w:rsidR="000F384C" w:rsidRPr="00FC71C0">
        <w:rPr>
          <w:lang w:val="fr-FR"/>
        </w:rPr>
        <w:t xml:space="preserve"> («</w:t>
      </w:r>
      <w:r w:rsidR="008068D5" w:rsidRPr="00FC71C0">
        <w:rPr>
          <w:lang w:val="fr-FR"/>
        </w:rPr>
        <w:t> </w:t>
      </w:r>
      <w:r w:rsidR="000F384C" w:rsidRPr="00FC71C0">
        <w:rPr>
          <w:lang w:val="fr-FR"/>
        </w:rPr>
        <w:t>les requérants</w:t>
      </w:r>
      <w:r w:rsidR="008068D5" w:rsidRPr="00FC71C0">
        <w:rPr>
          <w:lang w:val="fr-FR"/>
        </w:rPr>
        <w:t> </w:t>
      </w:r>
      <w:r w:rsidR="000F384C" w:rsidRPr="00FC71C0">
        <w:rPr>
          <w:lang w:val="fr-FR"/>
        </w:rPr>
        <w:t>»)</w:t>
      </w:r>
      <w:r w:rsidRPr="00FC71C0">
        <w:rPr>
          <w:lang w:val="fr-FR"/>
        </w:rPr>
        <w:t xml:space="preserve">, ont saisi la Cour le </w:t>
      </w:r>
      <w:r w:rsidR="00FC71C0">
        <w:rPr>
          <w:lang w:val="fr-FR"/>
        </w:rPr>
        <w:t>14 </w:t>
      </w:r>
      <w:r w:rsidRPr="00FC71C0">
        <w:rPr>
          <w:lang w:val="fr-FR"/>
        </w:rPr>
        <w:t>décembre 2009</w:t>
      </w:r>
      <w:r w:rsidR="00E77CB3" w:rsidRPr="00FC71C0">
        <w:rPr>
          <w:lang w:val="fr-FR"/>
        </w:rPr>
        <w:t xml:space="preserve"> en vertu de </w:t>
      </w:r>
      <w:r w:rsidRPr="00FC71C0">
        <w:rPr>
          <w:lang w:val="fr-FR"/>
        </w:rPr>
        <w:t>l</w:t>
      </w:r>
      <w:r w:rsidR="00F20289">
        <w:rPr>
          <w:lang w:val="fr-FR"/>
        </w:rPr>
        <w:t>’</w:t>
      </w:r>
      <w:r w:rsidRPr="00FC71C0">
        <w:rPr>
          <w:lang w:val="fr-FR"/>
        </w:rPr>
        <w:t>article</w:t>
      </w:r>
      <w:r w:rsidR="008068D5" w:rsidRPr="00FC71C0">
        <w:rPr>
          <w:lang w:val="fr-FR"/>
        </w:rPr>
        <w:t> </w:t>
      </w:r>
      <w:r w:rsidRPr="00FC71C0">
        <w:rPr>
          <w:lang w:val="fr-FR"/>
        </w:rPr>
        <w:t>34</w:t>
      </w:r>
      <w:r w:rsidR="00E77CB3" w:rsidRPr="00FC71C0">
        <w:rPr>
          <w:lang w:val="fr-FR"/>
        </w:rPr>
        <w:t xml:space="preserve"> de la Convention de sauvegarde des droits de l</w:t>
      </w:r>
      <w:r w:rsidR="00F20289">
        <w:rPr>
          <w:lang w:val="fr-FR"/>
        </w:rPr>
        <w:t>’</w:t>
      </w:r>
      <w:r w:rsidR="00E77CB3" w:rsidRPr="00FC71C0">
        <w:rPr>
          <w:lang w:val="fr-FR"/>
        </w:rPr>
        <w:t>homme et des libertés fondamentales (« la Convention »).</w:t>
      </w:r>
    </w:p>
    <w:p w:rsidR="00FC71C0"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w:t>
      </w:r>
      <w:r w:rsidRPr="00FC71C0">
        <w:rPr>
          <w:lang w:val="fr-FR"/>
        </w:rPr>
        <w:fldChar w:fldCharType="end"/>
      </w:r>
      <w:r w:rsidR="00E77CB3" w:rsidRPr="00FC71C0">
        <w:rPr>
          <w:lang w:val="fr-FR"/>
        </w:rPr>
        <w:t>.  </w:t>
      </w:r>
      <w:r w:rsidRPr="00FC71C0">
        <w:rPr>
          <w:lang w:val="fr-FR"/>
        </w:rPr>
        <w:t>Les requérants ont été représentés par M</w:t>
      </w:r>
      <w:r w:rsidRPr="00FC71C0">
        <w:rPr>
          <w:vertAlign w:val="superscript"/>
          <w:lang w:val="fr-FR"/>
        </w:rPr>
        <w:t>e</w:t>
      </w:r>
      <w:r w:rsidRPr="00FC71C0">
        <w:rPr>
          <w:lang w:val="fr-FR"/>
        </w:rPr>
        <w:t xml:space="preserve"> M. Massano, avocat à </w:t>
      </w:r>
      <w:r w:rsidR="00632EB5" w:rsidRPr="00FC71C0">
        <w:rPr>
          <w:lang w:val="fr-FR"/>
        </w:rPr>
        <w:t>Turin</w:t>
      </w:r>
      <w:r w:rsidRPr="00FC71C0">
        <w:rPr>
          <w:lang w:val="fr-FR"/>
        </w:rPr>
        <w:t xml:space="preserve">. </w:t>
      </w:r>
      <w:r w:rsidR="00E77CB3" w:rsidRPr="00FC71C0">
        <w:rPr>
          <w:lang w:val="fr-FR"/>
        </w:rPr>
        <w:t xml:space="preserve">Le gouvernement </w:t>
      </w:r>
      <w:r w:rsidRPr="00FC71C0">
        <w:rPr>
          <w:lang w:val="fr-FR"/>
        </w:rPr>
        <w:t>italien</w:t>
      </w:r>
      <w:r w:rsidR="00E77CB3" w:rsidRPr="00FC71C0">
        <w:rPr>
          <w:lang w:val="fr-FR"/>
        </w:rPr>
        <w:t xml:space="preserve"> (« le Gouvernement ») a été représenté par son agent, </w:t>
      </w:r>
      <w:r w:rsidR="005022AD" w:rsidRPr="00FC71C0">
        <w:rPr>
          <w:lang w:val="fr-FR"/>
        </w:rPr>
        <w:t>M</w:t>
      </w:r>
      <w:r w:rsidR="005022AD" w:rsidRPr="00FC71C0">
        <w:rPr>
          <w:vertAlign w:val="superscript"/>
          <w:lang w:val="fr-FR"/>
        </w:rPr>
        <w:t>me</w:t>
      </w:r>
      <w:r w:rsidR="008068D5" w:rsidRPr="00FC71C0">
        <w:rPr>
          <w:lang w:val="fr-FR"/>
        </w:rPr>
        <w:t> </w:t>
      </w:r>
      <w:r w:rsidR="005022AD" w:rsidRPr="00FC71C0">
        <w:rPr>
          <w:lang w:val="fr-FR"/>
        </w:rPr>
        <w:t>E. Spatafora</w:t>
      </w:r>
      <w:r w:rsidR="00E77CB3" w:rsidRPr="00FC71C0">
        <w:rPr>
          <w:lang w:val="fr-FR"/>
        </w:rPr>
        <w:t>.</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w:t>
      </w:r>
      <w:r w:rsidRPr="00FC71C0">
        <w:rPr>
          <w:lang w:val="fr-FR"/>
        </w:rPr>
        <w:fldChar w:fldCharType="end"/>
      </w:r>
      <w:r w:rsidRPr="00FC71C0">
        <w:rPr>
          <w:lang w:val="fr-FR"/>
        </w:rPr>
        <w:t xml:space="preserve">.  Les requérants allèguent en particulier </w:t>
      </w:r>
      <w:r w:rsidR="00693F22" w:rsidRPr="00FC71C0">
        <w:rPr>
          <w:lang w:val="fr-FR"/>
        </w:rPr>
        <w:t xml:space="preserve">une </w:t>
      </w:r>
      <w:r w:rsidR="005C7DFB" w:rsidRPr="00FC71C0">
        <w:rPr>
          <w:lang w:val="fr-FR"/>
        </w:rPr>
        <w:t>violation de leur droit au respect de la vie familiale, garanti par l</w:t>
      </w:r>
      <w:r w:rsidR="00F20289">
        <w:rPr>
          <w:lang w:val="fr-FR"/>
        </w:rPr>
        <w:t>’</w:t>
      </w:r>
      <w:r w:rsidR="005C7DFB" w:rsidRPr="00FC71C0">
        <w:rPr>
          <w:lang w:val="fr-FR"/>
        </w:rPr>
        <w:t>article</w:t>
      </w:r>
      <w:r w:rsidR="008068D5" w:rsidRPr="00FC71C0">
        <w:rPr>
          <w:lang w:val="fr-FR"/>
        </w:rPr>
        <w:t> </w:t>
      </w:r>
      <w:r w:rsidR="005C7DFB" w:rsidRPr="00FC71C0">
        <w:rPr>
          <w:lang w:val="fr-FR"/>
        </w:rPr>
        <w:t>8 de la Convention</w:t>
      </w:r>
      <w:r w:rsidRPr="00FC71C0">
        <w:rPr>
          <w:lang w:val="fr-FR"/>
        </w:rPr>
        <w:t>.</w:t>
      </w:r>
    </w:p>
    <w:p w:rsidR="00E77CB3" w:rsidRPr="00FC71C0" w:rsidRDefault="00802E33" w:rsidP="00FC71C0">
      <w:pPr>
        <w:pStyle w:val="ECHRPara"/>
        <w:rPr>
          <w:szCs w:val="24"/>
          <w:lang w:val="fr-FR" w:eastAsia="en-GB"/>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w:t>
      </w:r>
      <w:r w:rsidRPr="00FC71C0">
        <w:rPr>
          <w:lang w:val="fr-FR"/>
        </w:rPr>
        <w:fldChar w:fldCharType="end"/>
      </w:r>
      <w:r w:rsidR="00E77CB3" w:rsidRPr="00FC71C0">
        <w:rPr>
          <w:lang w:val="fr-FR"/>
        </w:rPr>
        <w:t>.  </w:t>
      </w:r>
      <w:r w:rsidRPr="00FC71C0">
        <w:rPr>
          <w:lang w:val="fr-FR"/>
        </w:rPr>
        <w:t xml:space="preserve">Le </w:t>
      </w:r>
      <w:r w:rsidRPr="00FC71C0">
        <w:rPr>
          <w:szCs w:val="24"/>
          <w:lang w:val="fr-FR"/>
        </w:rPr>
        <w:t>12 mars 2013</w:t>
      </w:r>
      <w:r w:rsidR="00E77CB3" w:rsidRPr="00FC71C0">
        <w:rPr>
          <w:lang w:val="fr-FR"/>
        </w:rPr>
        <w:t xml:space="preserve">, </w:t>
      </w:r>
      <w:r w:rsidRPr="00FC71C0">
        <w:rPr>
          <w:lang w:val="fr-FR"/>
        </w:rPr>
        <w:t>la requête a été communiquée au Gouvernement</w:t>
      </w:r>
      <w:r w:rsidR="00C1262B" w:rsidRPr="00FC71C0">
        <w:rPr>
          <w:lang w:val="fr-FR"/>
        </w:rPr>
        <w:t>.</w:t>
      </w:r>
    </w:p>
    <w:p w:rsidR="00E77CB3" w:rsidRPr="00FC71C0" w:rsidRDefault="00E77CB3" w:rsidP="00FC71C0">
      <w:pPr>
        <w:pStyle w:val="ECHRTitle1"/>
        <w:tabs>
          <w:tab w:val="left" w:pos="5387"/>
        </w:tabs>
        <w:rPr>
          <w:lang w:val="fr-FR"/>
        </w:rPr>
      </w:pPr>
      <w:r w:rsidRPr="00FC71C0">
        <w:rPr>
          <w:lang w:val="fr-FR"/>
        </w:rPr>
        <w:t>EN FAIT</w:t>
      </w:r>
    </w:p>
    <w:p w:rsidR="00E77CB3" w:rsidRPr="00FC71C0" w:rsidRDefault="00E77CB3" w:rsidP="00FC71C0">
      <w:pPr>
        <w:pStyle w:val="ECHRHeading1"/>
        <w:rPr>
          <w:lang w:val="fr-FR"/>
        </w:rPr>
      </w:pPr>
      <w:r w:rsidRPr="00FC71C0">
        <w:rPr>
          <w:lang w:val="fr-FR"/>
        </w:rPr>
        <w:t>I.  LES CIRCONSTANCES DE L</w:t>
      </w:r>
      <w:r w:rsidR="00F20289">
        <w:rPr>
          <w:lang w:val="fr-FR"/>
        </w:rPr>
        <w:t>’</w:t>
      </w:r>
      <w:r w:rsidRPr="00FC71C0">
        <w:rPr>
          <w:lang w:val="fr-FR"/>
        </w:rPr>
        <w:t>ESPÈCE</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w:t>
      </w:r>
      <w:r w:rsidRPr="00FC71C0">
        <w:rPr>
          <w:lang w:val="fr-FR"/>
        </w:rPr>
        <w:fldChar w:fldCharType="end"/>
      </w:r>
      <w:r w:rsidR="00E77CB3" w:rsidRPr="00FC71C0">
        <w:rPr>
          <w:lang w:val="fr-FR"/>
        </w:rPr>
        <w:t>.  </w:t>
      </w:r>
      <w:r w:rsidRPr="00FC71C0">
        <w:rPr>
          <w:lang w:val="fr-FR"/>
        </w:rPr>
        <w:t xml:space="preserve">Les requérants sont nés respectivement en 1943 et </w:t>
      </w:r>
      <w:r w:rsidR="00A43DAC" w:rsidRPr="00FC71C0">
        <w:rPr>
          <w:lang w:val="fr-FR"/>
        </w:rPr>
        <w:t>1938</w:t>
      </w:r>
      <w:r w:rsidRPr="00FC71C0">
        <w:rPr>
          <w:lang w:val="fr-FR"/>
        </w:rPr>
        <w:t xml:space="preserve"> et résident à </w:t>
      </w:r>
      <w:r w:rsidR="00632EB5" w:rsidRPr="00FC71C0">
        <w:rPr>
          <w:lang w:val="fr-FR"/>
        </w:rPr>
        <w:t>Turin</w:t>
      </w:r>
      <w:r w:rsidR="00E77CB3" w:rsidRPr="00FC71C0">
        <w:rPr>
          <w:lang w:val="fr-FR"/>
        </w:rPr>
        <w:t>.</w:t>
      </w:r>
    </w:p>
    <w:p w:rsidR="00A43DAC"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w:t>
      </w:r>
      <w:r w:rsidRPr="00FC71C0">
        <w:rPr>
          <w:lang w:val="fr-FR"/>
        </w:rPr>
        <w:fldChar w:fldCharType="end"/>
      </w:r>
      <w:r w:rsidR="00E77CB3" w:rsidRPr="00FC71C0">
        <w:rPr>
          <w:lang w:val="fr-FR"/>
        </w:rPr>
        <w:t>.  </w:t>
      </w:r>
      <w:r w:rsidR="00A43DAC" w:rsidRPr="00FC71C0">
        <w:rPr>
          <w:lang w:val="fr-FR"/>
        </w:rPr>
        <w:t>Les faits de la cause, tels qu</w:t>
      </w:r>
      <w:r w:rsidR="00F20289">
        <w:rPr>
          <w:lang w:val="fr-FR"/>
        </w:rPr>
        <w:t>’</w:t>
      </w:r>
      <w:r w:rsidR="00A43DAC" w:rsidRPr="00FC71C0">
        <w:rPr>
          <w:lang w:val="fr-FR"/>
        </w:rPr>
        <w:t xml:space="preserve">ils ont été exposés par les </w:t>
      </w:r>
      <w:r w:rsidR="00D27C32" w:rsidRPr="00FC71C0">
        <w:rPr>
          <w:lang w:val="fr-FR"/>
        </w:rPr>
        <w:t>parties</w:t>
      </w:r>
      <w:r w:rsidR="00A43DAC" w:rsidRPr="00FC71C0">
        <w:rPr>
          <w:lang w:val="fr-FR"/>
        </w:rPr>
        <w:t>, peuvent se résumer comme suit.</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7</w:t>
      </w:r>
      <w:r w:rsidRPr="00FC71C0">
        <w:rPr>
          <w:lang w:val="fr-FR"/>
        </w:rPr>
        <w:fldChar w:fldCharType="end"/>
      </w:r>
      <w:r w:rsidRPr="00FC71C0">
        <w:rPr>
          <w:lang w:val="fr-FR"/>
        </w:rPr>
        <w:t>.  </w:t>
      </w:r>
      <w:r w:rsidR="00A43DAC" w:rsidRPr="00FC71C0">
        <w:rPr>
          <w:lang w:val="fr-FR"/>
        </w:rPr>
        <w:t>Les requérants sont les grands-parents paternels de la mineure M.C., née le 7 août 1997 du mariage entre leur fils, D.N., et M.G.T.</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8</w:t>
      </w:r>
      <w:r w:rsidRPr="00FC71C0">
        <w:rPr>
          <w:lang w:val="fr-FR"/>
        </w:rPr>
        <w:fldChar w:fldCharType="end"/>
      </w:r>
      <w:r w:rsidRPr="00FC71C0">
        <w:rPr>
          <w:lang w:val="fr-FR"/>
        </w:rPr>
        <w:t>.  </w:t>
      </w:r>
      <w:r w:rsidR="00A43DAC" w:rsidRPr="00FC71C0">
        <w:rPr>
          <w:lang w:val="fr-FR"/>
        </w:rPr>
        <w:t>Le fils des requérants et M.G.T. se marièrent le 6 juillet 1996</w:t>
      </w:r>
      <w:r w:rsidR="00693F22" w:rsidRPr="00FC71C0">
        <w:rPr>
          <w:lang w:val="fr-FR"/>
        </w:rPr>
        <w:t>. I</w:t>
      </w:r>
      <w:r w:rsidR="00A43DAC" w:rsidRPr="00FC71C0">
        <w:rPr>
          <w:lang w:val="fr-FR"/>
        </w:rPr>
        <w:t xml:space="preserve">ls habitèrent </w:t>
      </w:r>
      <w:r w:rsidR="00693F22" w:rsidRPr="00FC71C0">
        <w:rPr>
          <w:lang w:val="fr-FR"/>
        </w:rPr>
        <w:t xml:space="preserve">ensemble </w:t>
      </w:r>
      <w:r w:rsidR="00A43DAC" w:rsidRPr="00FC71C0">
        <w:rPr>
          <w:lang w:val="fr-FR"/>
        </w:rPr>
        <w:t>avec leur fille, ainsi qu</w:t>
      </w:r>
      <w:r w:rsidR="00F20289">
        <w:rPr>
          <w:lang w:val="fr-FR"/>
        </w:rPr>
        <w:t>’</w:t>
      </w:r>
      <w:r w:rsidR="00A43DAC" w:rsidRPr="00FC71C0">
        <w:rPr>
          <w:lang w:val="fr-FR"/>
        </w:rPr>
        <w:t xml:space="preserve">avec C., </w:t>
      </w:r>
      <w:r w:rsidR="00693F22" w:rsidRPr="00FC71C0">
        <w:rPr>
          <w:lang w:val="fr-FR"/>
        </w:rPr>
        <w:t xml:space="preserve">fils </w:t>
      </w:r>
      <w:r w:rsidR="00A43DAC" w:rsidRPr="00FC71C0">
        <w:rPr>
          <w:lang w:val="fr-FR"/>
        </w:rPr>
        <w:t>de M.G.T.</w:t>
      </w:r>
      <w:r w:rsidR="00693F22" w:rsidRPr="00FC71C0">
        <w:rPr>
          <w:lang w:val="fr-FR"/>
        </w:rPr>
        <w:t xml:space="preserve"> issu d</w:t>
      </w:r>
      <w:r w:rsidR="00F20289">
        <w:rPr>
          <w:lang w:val="fr-FR"/>
        </w:rPr>
        <w:t>’</w:t>
      </w:r>
      <w:r w:rsidR="00693F22" w:rsidRPr="00FC71C0">
        <w:rPr>
          <w:lang w:val="fr-FR"/>
        </w:rPr>
        <w:t>un premier mariage</w:t>
      </w:r>
      <w:r w:rsidR="00A43DAC" w:rsidRPr="00FC71C0">
        <w:rPr>
          <w:lang w:val="fr-FR"/>
        </w:rPr>
        <w:t xml:space="preserve">, dans un appartement appartenant aux requérants et situé à proximité de leur </w:t>
      </w:r>
      <w:r w:rsidR="00D818E0" w:rsidRPr="00FC71C0">
        <w:rPr>
          <w:lang w:val="fr-FR"/>
        </w:rPr>
        <w:t>domicile</w:t>
      </w:r>
      <w:r w:rsidR="00A43DAC" w:rsidRPr="00FC71C0">
        <w:rPr>
          <w:lang w:val="fr-FR"/>
        </w:rPr>
        <w:t xml:space="preserve">. En mars 1998, les requérants achetèrent un appartement plus grand pour leur fils, sis à quelques kilomètres de Bussoleno, et ce dernier y </w:t>
      </w:r>
      <w:r w:rsidR="00D20865" w:rsidRPr="00FC71C0">
        <w:rPr>
          <w:lang w:val="fr-FR"/>
        </w:rPr>
        <w:t xml:space="preserve">emménagea </w:t>
      </w:r>
      <w:r w:rsidR="00A43DAC" w:rsidRPr="00FC71C0">
        <w:rPr>
          <w:lang w:val="fr-FR"/>
        </w:rPr>
        <w:t>avec sa famille. Les requérants se rendaient régulièrement chez leur fils pour voir leur petite-fille et pendant l</w:t>
      </w:r>
      <w:r w:rsidR="00F20289">
        <w:rPr>
          <w:lang w:val="fr-FR"/>
        </w:rPr>
        <w:t>’</w:t>
      </w:r>
      <w:r w:rsidR="00A43DAC" w:rsidRPr="00FC71C0">
        <w:rPr>
          <w:lang w:val="fr-FR"/>
        </w:rPr>
        <w:t>été M.C. passait beaucoup de temps chez les grands-parents, où elle avait sa propre chambre et ses jouets.</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9</w:t>
      </w:r>
      <w:r w:rsidRPr="00FC71C0">
        <w:rPr>
          <w:lang w:val="fr-FR"/>
        </w:rPr>
        <w:fldChar w:fldCharType="end"/>
      </w:r>
      <w:r w:rsidRPr="00FC71C0">
        <w:rPr>
          <w:lang w:val="fr-FR"/>
        </w:rPr>
        <w:t>.  </w:t>
      </w:r>
      <w:r w:rsidR="00A43DAC" w:rsidRPr="00FC71C0">
        <w:rPr>
          <w:lang w:val="fr-FR"/>
        </w:rPr>
        <w:t xml:space="preserve">Le 20 mai 2002, </w:t>
      </w:r>
      <w:r w:rsidR="000016D6" w:rsidRPr="00FC71C0">
        <w:rPr>
          <w:lang w:val="fr-FR"/>
        </w:rPr>
        <w:t>Mme</w:t>
      </w:r>
      <w:r w:rsidR="00CB53C4" w:rsidRPr="00FC71C0">
        <w:rPr>
          <w:lang w:val="fr-FR"/>
        </w:rPr>
        <w:t xml:space="preserve"> </w:t>
      </w:r>
      <w:r w:rsidR="00A43DAC" w:rsidRPr="00FC71C0">
        <w:rPr>
          <w:lang w:val="fr-FR"/>
        </w:rPr>
        <w:t xml:space="preserve">M.G.T. communiqua à </w:t>
      </w:r>
      <w:r w:rsidR="000016D6" w:rsidRPr="00FC71C0">
        <w:rPr>
          <w:lang w:val="fr-FR"/>
        </w:rPr>
        <w:t>M.</w:t>
      </w:r>
      <w:r w:rsidR="00CB53C4" w:rsidRPr="00FC71C0">
        <w:rPr>
          <w:lang w:val="fr-FR"/>
        </w:rPr>
        <w:t xml:space="preserve"> </w:t>
      </w:r>
      <w:r w:rsidR="00A43DAC" w:rsidRPr="00FC71C0">
        <w:rPr>
          <w:lang w:val="fr-FR"/>
        </w:rPr>
        <w:t>D.N. sa volonté d</w:t>
      </w:r>
      <w:r w:rsidR="00F20289">
        <w:rPr>
          <w:lang w:val="fr-FR"/>
        </w:rPr>
        <w:t>’</w:t>
      </w:r>
      <w:r w:rsidR="00A43DAC" w:rsidRPr="00FC71C0">
        <w:rPr>
          <w:lang w:val="fr-FR"/>
        </w:rPr>
        <w:t xml:space="preserve">engager une procédure </w:t>
      </w:r>
      <w:r w:rsidR="005B4CD5" w:rsidRPr="00FC71C0">
        <w:rPr>
          <w:lang w:val="fr-FR"/>
        </w:rPr>
        <w:t xml:space="preserve">judiciaire </w:t>
      </w:r>
      <w:r w:rsidR="00A43DAC" w:rsidRPr="00FC71C0">
        <w:rPr>
          <w:lang w:val="fr-FR"/>
        </w:rPr>
        <w:t xml:space="preserve">en séparation </w:t>
      </w:r>
      <w:r w:rsidR="005B4CD5" w:rsidRPr="00FC71C0">
        <w:rPr>
          <w:lang w:val="fr-FR"/>
        </w:rPr>
        <w:t>de corps</w:t>
      </w:r>
      <w:r w:rsidR="00A43DAC" w:rsidRPr="00FC71C0">
        <w:rPr>
          <w:lang w:val="fr-FR"/>
        </w:rPr>
        <w:t>.</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10</w:t>
      </w:r>
      <w:r w:rsidRPr="00FC71C0">
        <w:rPr>
          <w:lang w:val="fr-FR"/>
        </w:rPr>
        <w:fldChar w:fldCharType="end"/>
      </w:r>
      <w:r w:rsidRPr="00FC71C0">
        <w:rPr>
          <w:lang w:val="fr-FR"/>
        </w:rPr>
        <w:t>.  </w:t>
      </w:r>
      <w:r w:rsidR="00A43DAC" w:rsidRPr="00FC71C0">
        <w:rPr>
          <w:lang w:val="fr-FR"/>
        </w:rPr>
        <w:t>En juin 2002, la directrice de l</w:t>
      </w:r>
      <w:r w:rsidR="00F20289">
        <w:rPr>
          <w:lang w:val="fr-FR"/>
        </w:rPr>
        <w:t>’</w:t>
      </w:r>
      <w:r w:rsidR="00A43DAC" w:rsidRPr="00FC71C0">
        <w:rPr>
          <w:lang w:val="fr-FR"/>
        </w:rPr>
        <w:t xml:space="preserve">école maternelle fréquentée par M.C., soupçonnant des attouchements sexuels sur </w:t>
      </w:r>
      <w:r w:rsidR="00D818E0" w:rsidRPr="00FC71C0">
        <w:rPr>
          <w:lang w:val="fr-FR"/>
        </w:rPr>
        <w:t>l</w:t>
      </w:r>
      <w:r w:rsidR="00F20289">
        <w:rPr>
          <w:lang w:val="fr-FR"/>
        </w:rPr>
        <w:t>’</w:t>
      </w:r>
      <w:r w:rsidR="00D818E0" w:rsidRPr="00FC71C0">
        <w:rPr>
          <w:lang w:val="fr-FR"/>
        </w:rPr>
        <w:t>enfant</w:t>
      </w:r>
      <w:r w:rsidR="00A43DAC" w:rsidRPr="00FC71C0">
        <w:rPr>
          <w:lang w:val="fr-FR"/>
        </w:rPr>
        <w:t xml:space="preserve"> de la part de son père, porta plainte contre </w:t>
      </w:r>
      <w:r w:rsidR="00CB53C4" w:rsidRPr="00FC71C0">
        <w:rPr>
          <w:lang w:val="fr-FR"/>
        </w:rPr>
        <w:t>D.N.</w:t>
      </w:r>
      <w:r w:rsidR="00A43DAC" w:rsidRPr="00FC71C0">
        <w:rPr>
          <w:lang w:val="fr-FR"/>
        </w:rPr>
        <w:t xml:space="preserve"> Une procédure pénale fut ouverte contre ce dernier, accusé du délit de violence sexuelle à l</w:t>
      </w:r>
      <w:r w:rsidR="00F20289">
        <w:rPr>
          <w:lang w:val="fr-FR"/>
        </w:rPr>
        <w:t>’</w:t>
      </w:r>
      <w:r w:rsidR="00A43DAC" w:rsidRPr="00FC71C0">
        <w:rPr>
          <w:lang w:val="fr-FR"/>
        </w:rPr>
        <w:t>encontre de M.C et C. Le 16 juin 2006, le tribunal de Turin acquitta D.N. pour absence de faits délictueux (« </w:t>
      </w:r>
      <w:r w:rsidR="00A43DAC" w:rsidRPr="00FC71C0">
        <w:rPr>
          <w:i/>
          <w:lang w:val="fr-FR"/>
        </w:rPr>
        <w:t>perché il fatto non sussiste</w:t>
      </w:r>
      <w:r w:rsidR="00A43DAC" w:rsidRPr="00FC71C0">
        <w:rPr>
          <w:lang w:val="fr-FR"/>
        </w:rPr>
        <w:t> »).</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11</w:t>
      </w:r>
      <w:r w:rsidRPr="00FC71C0">
        <w:rPr>
          <w:lang w:val="fr-FR"/>
        </w:rPr>
        <w:fldChar w:fldCharType="end"/>
      </w:r>
      <w:r w:rsidRPr="00FC71C0">
        <w:rPr>
          <w:lang w:val="fr-FR"/>
        </w:rPr>
        <w:t>.  </w:t>
      </w:r>
      <w:r w:rsidR="00A43DAC" w:rsidRPr="00FC71C0">
        <w:rPr>
          <w:lang w:val="fr-FR"/>
        </w:rPr>
        <w:t>Entre-temps, le 1</w:t>
      </w:r>
      <w:r w:rsidR="00A43DAC" w:rsidRPr="00FC71C0">
        <w:rPr>
          <w:vertAlign w:val="superscript"/>
          <w:lang w:val="fr-FR"/>
        </w:rPr>
        <w:t>er</w:t>
      </w:r>
      <w:r w:rsidR="00A43DAC" w:rsidRPr="00FC71C0">
        <w:rPr>
          <w:lang w:val="fr-FR"/>
        </w:rPr>
        <w:t xml:space="preserve"> août 2002, M.G.T. avait demandé au tribunal pour enfants</w:t>
      </w:r>
      <w:r w:rsidR="007C5120" w:rsidRPr="00FC71C0">
        <w:rPr>
          <w:lang w:val="fr-FR"/>
        </w:rPr>
        <w:t xml:space="preserve"> </w:t>
      </w:r>
      <w:r w:rsidR="00A43DAC" w:rsidRPr="00FC71C0">
        <w:rPr>
          <w:lang w:val="fr-FR"/>
        </w:rPr>
        <w:t>de Turin (</w:t>
      </w:r>
      <w:r w:rsidR="007C5120" w:rsidRPr="00FC71C0">
        <w:rPr>
          <w:lang w:val="fr-FR"/>
        </w:rPr>
        <w:t xml:space="preserve">ci-après, </w:t>
      </w:r>
      <w:r w:rsidR="00A43DAC" w:rsidRPr="00FC71C0">
        <w:rPr>
          <w:lang w:val="fr-FR"/>
        </w:rPr>
        <w:t>« le tribunal ») de retirer l</w:t>
      </w:r>
      <w:r w:rsidR="00F20289">
        <w:rPr>
          <w:lang w:val="fr-FR"/>
        </w:rPr>
        <w:t>’</w:t>
      </w:r>
      <w:r w:rsidR="00A43DAC" w:rsidRPr="00FC71C0">
        <w:rPr>
          <w:lang w:val="fr-FR"/>
        </w:rPr>
        <w:t>autorité parentale à D.N. et de l</w:t>
      </w:r>
      <w:r w:rsidR="00F20289">
        <w:rPr>
          <w:lang w:val="fr-FR"/>
        </w:rPr>
        <w:t>’</w:t>
      </w:r>
      <w:r w:rsidR="00A43DAC" w:rsidRPr="00FC71C0">
        <w:rPr>
          <w:lang w:val="fr-FR"/>
        </w:rPr>
        <w:t>empêcher de voir sa fille. Depuis cette date, les requérants n</w:t>
      </w:r>
      <w:r w:rsidR="00F20289">
        <w:rPr>
          <w:lang w:val="fr-FR"/>
        </w:rPr>
        <w:t>’</w:t>
      </w:r>
      <w:r w:rsidR="00A43DAC" w:rsidRPr="00FC71C0">
        <w:rPr>
          <w:lang w:val="fr-FR"/>
        </w:rPr>
        <w:t>ont plus vu M.C.</w:t>
      </w:r>
    </w:p>
    <w:p w:rsidR="00A43DAC" w:rsidRPr="00FC71C0" w:rsidRDefault="0033368E" w:rsidP="00FC71C0">
      <w:pPr>
        <w:pStyle w:val="ECHRHeading2"/>
        <w:rPr>
          <w:lang w:val="fr-FR"/>
        </w:rPr>
      </w:pPr>
      <w:r w:rsidRPr="00FC71C0">
        <w:rPr>
          <w:lang w:val="fr-FR"/>
        </w:rPr>
        <w:t>A</w:t>
      </w:r>
      <w:r w:rsidR="00A43DAC" w:rsidRPr="00FC71C0">
        <w:rPr>
          <w:lang w:val="fr-FR"/>
        </w:rPr>
        <w:t>.  La procédure devant le tribunal pour enfants</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12</w:t>
      </w:r>
      <w:r w:rsidRPr="00FC71C0">
        <w:rPr>
          <w:lang w:val="fr-FR"/>
        </w:rPr>
        <w:fldChar w:fldCharType="end"/>
      </w:r>
      <w:r w:rsidRPr="00FC71C0">
        <w:rPr>
          <w:lang w:val="fr-FR"/>
        </w:rPr>
        <w:t>.  </w:t>
      </w:r>
      <w:r w:rsidR="00A43DAC" w:rsidRPr="00FC71C0">
        <w:rPr>
          <w:lang w:val="fr-FR"/>
        </w:rPr>
        <w:t>Le 9 octobre 2002, le tribunal</w:t>
      </w:r>
      <w:r w:rsidR="00B454FB" w:rsidRPr="00FC71C0">
        <w:rPr>
          <w:lang w:val="fr-FR"/>
        </w:rPr>
        <w:t xml:space="preserve"> </w:t>
      </w:r>
      <w:r w:rsidR="00A43DAC" w:rsidRPr="00FC71C0">
        <w:rPr>
          <w:lang w:val="fr-FR"/>
        </w:rPr>
        <w:t>chargea les services sociaux et les psychologues de suivre M.C., confia la garde de l</w:t>
      </w:r>
      <w:r w:rsidR="00F20289">
        <w:rPr>
          <w:lang w:val="fr-FR"/>
        </w:rPr>
        <w:t>’</w:t>
      </w:r>
      <w:r w:rsidR="00A43DAC" w:rsidRPr="00FC71C0">
        <w:rPr>
          <w:lang w:val="fr-FR"/>
        </w:rPr>
        <w:t>enfant aux grands-parents maternels, autorisa la mère à voir librement M.C. et autorisa le père à la voir selon les modalités fixées par les services sociaux.</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13</w:t>
      </w:r>
      <w:r w:rsidRPr="00FC71C0">
        <w:rPr>
          <w:lang w:val="fr-FR"/>
        </w:rPr>
        <w:fldChar w:fldCharType="end"/>
      </w:r>
      <w:r w:rsidRPr="00FC71C0">
        <w:rPr>
          <w:lang w:val="fr-FR"/>
        </w:rPr>
        <w:t>.  </w:t>
      </w:r>
      <w:r w:rsidR="00A43DAC" w:rsidRPr="00FC71C0">
        <w:rPr>
          <w:lang w:val="fr-FR"/>
        </w:rPr>
        <w:t>Le 9 décembre 2002, les requérants demandèrent à être consultés par le tribunal, à être autorisés à voir M.C.</w:t>
      </w:r>
      <w:r w:rsidR="000016D6" w:rsidRPr="00FC71C0">
        <w:rPr>
          <w:lang w:val="fr-FR"/>
        </w:rPr>
        <w:t>,</w:t>
      </w:r>
      <w:r w:rsidR="00A43DAC" w:rsidRPr="00FC71C0">
        <w:rPr>
          <w:lang w:val="fr-FR"/>
        </w:rPr>
        <w:t xml:space="preserve"> et déclarèrent être disposés à avoir la garde de l</w:t>
      </w:r>
      <w:r w:rsidR="00F20289">
        <w:rPr>
          <w:lang w:val="fr-FR"/>
        </w:rPr>
        <w:t>’</w:t>
      </w:r>
      <w:r w:rsidR="00A43DAC" w:rsidRPr="00FC71C0">
        <w:rPr>
          <w:lang w:val="fr-FR"/>
        </w:rPr>
        <w:t>enfant.</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14</w:t>
      </w:r>
      <w:r w:rsidRPr="00FC71C0">
        <w:rPr>
          <w:lang w:val="fr-FR"/>
        </w:rPr>
        <w:fldChar w:fldCharType="end"/>
      </w:r>
      <w:r w:rsidRPr="00FC71C0">
        <w:rPr>
          <w:lang w:val="fr-FR"/>
        </w:rPr>
        <w:t>.  </w:t>
      </w:r>
      <w:r w:rsidR="00A43DAC" w:rsidRPr="00FC71C0">
        <w:rPr>
          <w:lang w:val="fr-FR"/>
        </w:rPr>
        <w:t xml:space="preserve">Le 3 février 2003, le parquet exprima </w:t>
      </w:r>
      <w:r w:rsidR="00D20865" w:rsidRPr="00FC71C0">
        <w:rPr>
          <w:lang w:val="fr-FR"/>
        </w:rPr>
        <w:t xml:space="preserve">un </w:t>
      </w:r>
      <w:r w:rsidR="00A43DAC" w:rsidRPr="00FC71C0">
        <w:rPr>
          <w:lang w:val="fr-FR"/>
        </w:rPr>
        <w:t>avis favorable à ce que les requérants puissent être entendus afin d</w:t>
      </w:r>
      <w:r w:rsidR="00F20289">
        <w:rPr>
          <w:lang w:val="fr-FR"/>
        </w:rPr>
        <w:t>’</w:t>
      </w:r>
      <w:r w:rsidR="00A43DAC" w:rsidRPr="00FC71C0">
        <w:rPr>
          <w:lang w:val="fr-FR"/>
        </w:rPr>
        <w:t>exercer leur droit de visite.</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15</w:t>
      </w:r>
      <w:r w:rsidRPr="00FC71C0">
        <w:rPr>
          <w:lang w:val="fr-FR"/>
        </w:rPr>
        <w:fldChar w:fldCharType="end"/>
      </w:r>
      <w:r w:rsidRPr="00FC71C0">
        <w:rPr>
          <w:lang w:val="fr-FR"/>
        </w:rPr>
        <w:t>.  </w:t>
      </w:r>
      <w:r w:rsidR="00A43DAC" w:rsidRPr="00FC71C0">
        <w:rPr>
          <w:lang w:val="fr-FR"/>
        </w:rPr>
        <w:t>Il ressort du dossier qu</w:t>
      </w:r>
      <w:r w:rsidR="00F20289">
        <w:rPr>
          <w:lang w:val="fr-FR"/>
        </w:rPr>
        <w:t>’</w:t>
      </w:r>
      <w:r w:rsidR="00A43DAC" w:rsidRPr="00FC71C0">
        <w:rPr>
          <w:lang w:val="fr-FR"/>
        </w:rPr>
        <w:t>à partir du 4 février 2003, des contacts réguliers entre les requérants et les services sociaux eurent lieu afin de préparer une reprise des contacts avec l</w:t>
      </w:r>
      <w:r w:rsidR="00F20289">
        <w:rPr>
          <w:lang w:val="fr-FR"/>
        </w:rPr>
        <w:t>’</w:t>
      </w:r>
      <w:r w:rsidR="00A43DAC" w:rsidRPr="00FC71C0">
        <w:rPr>
          <w:lang w:val="fr-FR"/>
        </w:rPr>
        <w:t>enfant. Les requérants rencontraient régulièrement l</w:t>
      </w:r>
      <w:r w:rsidR="00F20289">
        <w:rPr>
          <w:lang w:val="fr-FR"/>
        </w:rPr>
        <w:t>’</w:t>
      </w:r>
      <w:r w:rsidR="00A43DAC" w:rsidRPr="00FC71C0">
        <w:rPr>
          <w:lang w:val="fr-FR"/>
        </w:rPr>
        <w:t>assistante sociale, par l</w:t>
      </w:r>
      <w:r w:rsidR="00F20289">
        <w:rPr>
          <w:lang w:val="fr-FR"/>
        </w:rPr>
        <w:t>’</w:t>
      </w:r>
      <w:r w:rsidR="00A43DAC" w:rsidRPr="00FC71C0">
        <w:rPr>
          <w:lang w:val="fr-FR"/>
        </w:rPr>
        <w:t xml:space="preserve">intermédiaire de laquelle ils pouvaient avoir des nouvelles de leur petite-fille et </w:t>
      </w:r>
      <w:r w:rsidR="00B66962" w:rsidRPr="00FC71C0">
        <w:rPr>
          <w:lang w:val="fr-FR"/>
        </w:rPr>
        <w:t xml:space="preserve">faire parvenir </w:t>
      </w:r>
      <w:r w:rsidR="00A43DAC" w:rsidRPr="00FC71C0">
        <w:rPr>
          <w:lang w:val="fr-FR"/>
        </w:rPr>
        <w:t>des lettres et des cadeaux à l</w:t>
      </w:r>
      <w:r w:rsidR="00F20289">
        <w:rPr>
          <w:lang w:val="fr-FR"/>
        </w:rPr>
        <w:t>’</w:t>
      </w:r>
      <w:r w:rsidR="00A43DAC" w:rsidRPr="00FC71C0">
        <w:rPr>
          <w:lang w:val="fr-FR"/>
        </w:rPr>
        <w:t>enfant.</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16</w:t>
      </w:r>
      <w:r w:rsidRPr="00FC71C0">
        <w:rPr>
          <w:lang w:val="fr-FR"/>
        </w:rPr>
        <w:fldChar w:fldCharType="end"/>
      </w:r>
      <w:r w:rsidRPr="00FC71C0">
        <w:rPr>
          <w:lang w:val="fr-FR"/>
        </w:rPr>
        <w:t>.  </w:t>
      </w:r>
      <w:r w:rsidR="00A43DAC" w:rsidRPr="00FC71C0">
        <w:rPr>
          <w:lang w:val="fr-FR"/>
        </w:rPr>
        <w:t>Le 1</w:t>
      </w:r>
      <w:r w:rsidR="00A43DAC" w:rsidRPr="00FC71C0">
        <w:rPr>
          <w:vertAlign w:val="superscript"/>
          <w:lang w:val="fr-FR"/>
        </w:rPr>
        <w:t>er</w:t>
      </w:r>
      <w:r w:rsidR="00A43DAC" w:rsidRPr="00FC71C0">
        <w:rPr>
          <w:lang w:val="fr-FR"/>
        </w:rPr>
        <w:t xml:space="preserve"> mars 2003 et le 22 avril 2004, les requérants saisirent le tribunal pour solliciter une décision concernant l</w:t>
      </w:r>
      <w:r w:rsidR="00F20289">
        <w:rPr>
          <w:lang w:val="fr-FR"/>
        </w:rPr>
        <w:t>’</w:t>
      </w:r>
      <w:r w:rsidR="00A43DAC" w:rsidRPr="00FC71C0">
        <w:rPr>
          <w:lang w:val="fr-FR"/>
        </w:rPr>
        <w:t>autorisation de rencontres avec M.C.</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17</w:t>
      </w:r>
      <w:r w:rsidRPr="00FC71C0">
        <w:rPr>
          <w:lang w:val="fr-FR"/>
        </w:rPr>
        <w:fldChar w:fldCharType="end"/>
      </w:r>
      <w:r w:rsidRPr="00FC71C0">
        <w:rPr>
          <w:lang w:val="fr-FR"/>
        </w:rPr>
        <w:t>.  </w:t>
      </w:r>
      <w:r w:rsidR="00A43DAC" w:rsidRPr="00FC71C0">
        <w:rPr>
          <w:lang w:val="fr-FR"/>
        </w:rPr>
        <w:t>Au cours de l</w:t>
      </w:r>
      <w:r w:rsidR="00F20289">
        <w:rPr>
          <w:lang w:val="fr-FR"/>
        </w:rPr>
        <w:t>’</w:t>
      </w:r>
      <w:r w:rsidR="00A43DAC" w:rsidRPr="00FC71C0">
        <w:rPr>
          <w:lang w:val="fr-FR"/>
        </w:rPr>
        <w:t>audience du 21 octobre 2004, le tribunal chargea des psychologues de suivre les requérants et M.C. et de réglementer la reprise des contacts entre eux.</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18</w:t>
      </w:r>
      <w:r w:rsidRPr="00FC71C0">
        <w:rPr>
          <w:lang w:val="fr-FR"/>
        </w:rPr>
        <w:fldChar w:fldCharType="end"/>
      </w:r>
      <w:r w:rsidRPr="00FC71C0">
        <w:rPr>
          <w:lang w:val="fr-FR"/>
        </w:rPr>
        <w:t>.  </w:t>
      </w:r>
      <w:r w:rsidR="00A43DAC" w:rsidRPr="00FC71C0">
        <w:rPr>
          <w:lang w:val="fr-FR"/>
        </w:rPr>
        <w:t>Le 1</w:t>
      </w:r>
      <w:r w:rsidR="00A43DAC" w:rsidRPr="00FC71C0">
        <w:rPr>
          <w:vertAlign w:val="superscript"/>
          <w:lang w:val="fr-FR"/>
        </w:rPr>
        <w:t>er</w:t>
      </w:r>
      <w:r w:rsidR="00A43DAC" w:rsidRPr="00FC71C0">
        <w:rPr>
          <w:lang w:val="fr-FR"/>
        </w:rPr>
        <w:t xml:space="preserve"> mars 2005, les requérants s</w:t>
      </w:r>
      <w:r w:rsidR="00F20289">
        <w:rPr>
          <w:lang w:val="fr-FR"/>
        </w:rPr>
        <w:t>’</w:t>
      </w:r>
      <w:r w:rsidR="00A43DAC" w:rsidRPr="00FC71C0">
        <w:rPr>
          <w:lang w:val="fr-FR"/>
        </w:rPr>
        <w:t>adressèrent à nouveau au tribunal et alléguèrent que le parcours de soutien psychologique pour préparer les rencontres n</w:t>
      </w:r>
      <w:r w:rsidR="00F20289">
        <w:rPr>
          <w:lang w:val="fr-FR"/>
        </w:rPr>
        <w:t>’</w:t>
      </w:r>
      <w:r w:rsidR="00A43DAC" w:rsidRPr="00FC71C0">
        <w:rPr>
          <w:lang w:val="fr-FR"/>
        </w:rPr>
        <w:t>avait pas encore été mis en place par les services sociaux et les psychologues. Ils demandèrent au tribunal de solliciter la mise en place du parcours, conformément à ce qui avait été établi au cours de l</w:t>
      </w:r>
      <w:r w:rsidR="00F20289">
        <w:rPr>
          <w:lang w:val="fr-FR"/>
        </w:rPr>
        <w:t>’</w:t>
      </w:r>
      <w:r w:rsidR="00A43DAC" w:rsidRPr="00FC71C0">
        <w:rPr>
          <w:lang w:val="fr-FR"/>
        </w:rPr>
        <w:t>audience du 21 octobre 2004.</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19</w:t>
      </w:r>
      <w:r w:rsidRPr="00FC71C0">
        <w:rPr>
          <w:lang w:val="fr-FR"/>
        </w:rPr>
        <w:fldChar w:fldCharType="end"/>
      </w:r>
      <w:r w:rsidRPr="00FC71C0">
        <w:rPr>
          <w:lang w:val="fr-FR"/>
        </w:rPr>
        <w:t>.  </w:t>
      </w:r>
      <w:r w:rsidR="00A43DAC" w:rsidRPr="00FC71C0">
        <w:rPr>
          <w:lang w:val="fr-FR"/>
        </w:rPr>
        <w:t>Le 1</w:t>
      </w:r>
      <w:r w:rsidR="00A43DAC" w:rsidRPr="00FC71C0">
        <w:rPr>
          <w:vertAlign w:val="superscript"/>
          <w:lang w:val="fr-FR"/>
        </w:rPr>
        <w:t>er</w:t>
      </w:r>
      <w:r w:rsidR="00A43DAC" w:rsidRPr="00FC71C0">
        <w:rPr>
          <w:lang w:val="fr-FR"/>
        </w:rPr>
        <w:t xml:space="preserve"> juillet 2005 et le 20 décembre 2005, le parquet donna </w:t>
      </w:r>
      <w:r w:rsidR="00D818E0" w:rsidRPr="00FC71C0">
        <w:rPr>
          <w:lang w:val="fr-FR"/>
        </w:rPr>
        <w:t xml:space="preserve">un </w:t>
      </w:r>
      <w:r w:rsidR="00A43DAC" w:rsidRPr="00FC71C0">
        <w:rPr>
          <w:lang w:val="fr-FR"/>
        </w:rPr>
        <w:t>avis favorable à ce que le tribunal accueille la demande des requérants de rencontrer M.C.</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20</w:t>
      </w:r>
      <w:r w:rsidRPr="00FC71C0">
        <w:rPr>
          <w:lang w:val="fr-FR"/>
        </w:rPr>
        <w:fldChar w:fldCharType="end"/>
      </w:r>
      <w:r w:rsidRPr="00FC71C0">
        <w:rPr>
          <w:lang w:val="fr-FR"/>
        </w:rPr>
        <w:t>.  </w:t>
      </w:r>
      <w:r w:rsidR="00A43DAC" w:rsidRPr="00FC71C0">
        <w:rPr>
          <w:lang w:val="fr-FR"/>
        </w:rPr>
        <w:t>Le 12 décembre 2005, la psychologue chargée par le tribunal de suivre les requérants déposa son rapport</w:t>
      </w:r>
      <w:r w:rsidR="00D818E0" w:rsidRPr="00FC71C0">
        <w:rPr>
          <w:lang w:val="fr-FR"/>
        </w:rPr>
        <w:t>, dont il ressortait</w:t>
      </w:r>
      <w:r w:rsidR="00A43DAC" w:rsidRPr="00FC71C0">
        <w:rPr>
          <w:lang w:val="fr-FR"/>
        </w:rPr>
        <w:t xml:space="preserve"> que les requérants étaient bien disposés à collaborer avec les services sociaux et à suivre un projet de rapprochement avec leur petite-fille. La psychologue autorisa un échange de lettres entre les requérants et M.C. afin de préparer cette dernière aux rencontres avec ses grands-parents.</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21</w:t>
      </w:r>
      <w:r w:rsidRPr="00FC71C0">
        <w:rPr>
          <w:lang w:val="fr-FR"/>
        </w:rPr>
        <w:fldChar w:fldCharType="end"/>
      </w:r>
      <w:r w:rsidRPr="00FC71C0">
        <w:rPr>
          <w:lang w:val="fr-FR"/>
        </w:rPr>
        <w:t>.  </w:t>
      </w:r>
      <w:r w:rsidR="00A43DAC" w:rsidRPr="00FC71C0">
        <w:rPr>
          <w:lang w:val="fr-FR"/>
        </w:rPr>
        <w:t>Il ressort du dossier que des échanges réguliers de lettres entre les requérants et M.C., surveillés par les services sociaux, eurent lieu dès le mois d</w:t>
      </w:r>
      <w:r w:rsidR="00F20289">
        <w:rPr>
          <w:lang w:val="fr-FR"/>
        </w:rPr>
        <w:t>’</w:t>
      </w:r>
      <w:r w:rsidR="00A43DAC" w:rsidRPr="00FC71C0">
        <w:rPr>
          <w:lang w:val="fr-FR"/>
        </w:rPr>
        <w:t>août 2003, et continuèrent au moins jusqu</w:t>
      </w:r>
      <w:r w:rsidR="00F20289">
        <w:rPr>
          <w:lang w:val="fr-FR"/>
        </w:rPr>
        <w:t>’</w:t>
      </w:r>
      <w:r w:rsidR="00A43DAC" w:rsidRPr="00FC71C0">
        <w:rPr>
          <w:lang w:val="fr-FR"/>
        </w:rPr>
        <w:t>à février 2007.</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22</w:t>
      </w:r>
      <w:r w:rsidRPr="00FC71C0">
        <w:rPr>
          <w:lang w:val="fr-FR"/>
        </w:rPr>
        <w:fldChar w:fldCharType="end"/>
      </w:r>
      <w:r w:rsidRPr="00FC71C0">
        <w:rPr>
          <w:lang w:val="fr-FR"/>
        </w:rPr>
        <w:t>.  </w:t>
      </w:r>
      <w:r w:rsidR="00A43DAC" w:rsidRPr="00FC71C0">
        <w:rPr>
          <w:lang w:val="fr-FR"/>
        </w:rPr>
        <w:t>Le 28 décembre 2005, l</w:t>
      </w:r>
      <w:r w:rsidR="00F20289">
        <w:rPr>
          <w:lang w:val="fr-FR"/>
        </w:rPr>
        <w:t>’</w:t>
      </w:r>
      <w:r w:rsidR="00A43DAC" w:rsidRPr="00FC71C0">
        <w:rPr>
          <w:lang w:val="fr-FR"/>
        </w:rPr>
        <w:t>assistante sociale informa le tribunal qu</w:t>
      </w:r>
      <w:r w:rsidR="00F20289">
        <w:rPr>
          <w:lang w:val="fr-FR"/>
        </w:rPr>
        <w:t>’</w:t>
      </w:r>
      <w:r w:rsidR="00A43DAC" w:rsidRPr="00FC71C0">
        <w:rPr>
          <w:lang w:val="fr-FR"/>
        </w:rPr>
        <w:t>un projet de rapprochement entre les requérants et M.C. avait été mis en place.</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23</w:t>
      </w:r>
      <w:r w:rsidRPr="00FC71C0">
        <w:rPr>
          <w:lang w:val="fr-FR"/>
        </w:rPr>
        <w:fldChar w:fldCharType="end"/>
      </w:r>
      <w:r w:rsidRPr="00FC71C0">
        <w:rPr>
          <w:lang w:val="fr-FR"/>
        </w:rPr>
        <w:t>.  </w:t>
      </w:r>
      <w:r w:rsidR="00A43DAC" w:rsidRPr="00FC71C0">
        <w:rPr>
          <w:lang w:val="fr-FR"/>
        </w:rPr>
        <w:t>Par une décision déposée au greffe le 16 février 2006, le tribunal autorisa les requérants à rencontrer M.C. tous les quinze jours en présence des assistants sociaux et chargea les services sociaux et la psychologue de poursuivre le suivi de M.C</w:t>
      </w:r>
      <w:r w:rsidR="000016D6" w:rsidRPr="00FC71C0">
        <w:rPr>
          <w:lang w:val="fr-FR"/>
        </w:rPr>
        <w:t>.</w:t>
      </w:r>
      <w:r w:rsidR="00A43DAC" w:rsidRPr="00FC71C0">
        <w:rPr>
          <w:lang w:val="fr-FR"/>
        </w:rPr>
        <w:t>, en leur demandant de déposer un rapport avant le 15 juin 2006. Il ressort du dossier que les rencontres autorisées par le tribunal n</w:t>
      </w:r>
      <w:r w:rsidR="00F20289">
        <w:rPr>
          <w:lang w:val="fr-FR"/>
        </w:rPr>
        <w:t>’</w:t>
      </w:r>
      <w:r w:rsidR="00A43DAC" w:rsidRPr="00FC71C0">
        <w:rPr>
          <w:lang w:val="fr-FR"/>
        </w:rPr>
        <w:t>ont jamais eu lieu.</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24</w:t>
      </w:r>
      <w:r w:rsidRPr="00FC71C0">
        <w:rPr>
          <w:lang w:val="fr-FR"/>
        </w:rPr>
        <w:fldChar w:fldCharType="end"/>
      </w:r>
      <w:r w:rsidRPr="00FC71C0">
        <w:rPr>
          <w:lang w:val="fr-FR"/>
        </w:rPr>
        <w:t>.  </w:t>
      </w:r>
      <w:r w:rsidR="00A43DAC" w:rsidRPr="00FC71C0">
        <w:rPr>
          <w:lang w:val="fr-FR"/>
        </w:rPr>
        <w:t>Le 1</w:t>
      </w:r>
      <w:r w:rsidR="00A43DAC" w:rsidRPr="00FC71C0">
        <w:rPr>
          <w:vertAlign w:val="superscript"/>
          <w:lang w:val="fr-FR"/>
        </w:rPr>
        <w:t>er</w:t>
      </w:r>
      <w:r w:rsidR="00A43DAC" w:rsidRPr="00FC71C0">
        <w:rPr>
          <w:lang w:val="fr-FR"/>
        </w:rPr>
        <w:t xml:space="preserve"> juin 2006, la psychologue demanda au tribunal de suspendre toute possibilité </w:t>
      </w:r>
      <w:r w:rsidR="00331EF6" w:rsidRPr="00FC71C0">
        <w:rPr>
          <w:lang w:val="fr-FR"/>
        </w:rPr>
        <w:t xml:space="preserve">de </w:t>
      </w:r>
      <w:r w:rsidR="00A43DAC" w:rsidRPr="00FC71C0">
        <w:rPr>
          <w:lang w:val="fr-FR"/>
        </w:rPr>
        <w:t>rencontre entre les requérants et l</w:t>
      </w:r>
      <w:r w:rsidR="00F20289">
        <w:rPr>
          <w:lang w:val="fr-FR"/>
        </w:rPr>
        <w:t>’</w:t>
      </w:r>
      <w:r w:rsidR="00A43DAC" w:rsidRPr="00FC71C0">
        <w:rPr>
          <w:lang w:val="fr-FR"/>
        </w:rPr>
        <w:t>enfant. Selon la psychologue, M.C. manifestait un sentiment de peur et d</w:t>
      </w:r>
      <w:r w:rsidR="00F20289">
        <w:rPr>
          <w:lang w:val="fr-FR"/>
        </w:rPr>
        <w:t>’</w:t>
      </w:r>
      <w:r w:rsidR="00A43DAC" w:rsidRPr="00FC71C0">
        <w:rPr>
          <w:lang w:val="fr-FR"/>
        </w:rPr>
        <w:t>angoisse vis-à-vis de son père, elle associait les grands-parents à son père et n</w:t>
      </w:r>
      <w:r w:rsidR="00F20289">
        <w:rPr>
          <w:lang w:val="fr-FR"/>
        </w:rPr>
        <w:t>’</w:t>
      </w:r>
      <w:r w:rsidR="00A43DAC" w:rsidRPr="00FC71C0">
        <w:rPr>
          <w:lang w:val="fr-FR"/>
        </w:rPr>
        <w:t>était par conséquent pas prête à les rencontrer. La psychologue souligna que l</w:t>
      </w:r>
      <w:r w:rsidR="00F20289">
        <w:rPr>
          <w:lang w:val="fr-FR"/>
        </w:rPr>
        <w:t>’</w:t>
      </w:r>
      <w:r w:rsidR="00A43DAC" w:rsidRPr="00FC71C0">
        <w:rPr>
          <w:lang w:val="fr-FR"/>
        </w:rPr>
        <w:t xml:space="preserve">enfant avait expressément </w:t>
      </w:r>
      <w:r w:rsidR="00421D73" w:rsidRPr="00FC71C0">
        <w:rPr>
          <w:lang w:val="fr-FR"/>
        </w:rPr>
        <w:t xml:space="preserve">refusé </w:t>
      </w:r>
      <w:r w:rsidR="00A43DAC" w:rsidRPr="00FC71C0">
        <w:rPr>
          <w:lang w:val="fr-FR"/>
        </w:rPr>
        <w:t>de rencontrer ses grands-parents et estima que ces derniers, bien que disposés à collaborer avec les services sociaux, montraient des difficultés à avoir une position autonome par rapport à leur fils et à comprendre le malaise de M.C. vis-à-vis d</w:t>
      </w:r>
      <w:r w:rsidR="00F20289">
        <w:rPr>
          <w:lang w:val="fr-FR"/>
        </w:rPr>
        <w:t>’</w:t>
      </w:r>
      <w:r w:rsidR="00A43DAC" w:rsidRPr="00FC71C0">
        <w:rPr>
          <w:lang w:val="fr-FR"/>
        </w:rPr>
        <w:t>une rencontre avec eux.</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25</w:t>
      </w:r>
      <w:r w:rsidRPr="00FC71C0">
        <w:rPr>
          <w:lang w:val="fr-FR"/>
        </w:rPr>
        <w:fldChar w:fldCharType="end"/>
      </w:r>
      <w:r w:rsidRPr="00FC71C0">
        <w:rPr>
          <w:lang w:val="fr-FR"/>
        </w:rPr>
        <w:t>.  </w:t>
      </w:r>
      <w:r w:rsidR="00A43DAC" w:rsidRPr="00FC71C0">
        <w:rPr>
          <w:lang w:val="fr-FR"/>
        </w:rPr>
        <w:t>Le 14 juin 2006, les services sociaux sollicitèrent du tribunal la suspension des rencontres. Ils alléguèrent que les rencontres avec les grands-parents n</w:t>
      </w:r>
      <w:r w:rsidR="00F20289">
        <w:rPr>
          <w:lang w:val="fr-FR"/>
        </w:rPr>
        <w:t>’</w:t>
      </w:r>
      <w:r w:rsidR="00A43DAC" w:rsidRPr="00FC71C0">
        <w:rPr>
          <w:lang w:val="fr-FR"/>
        </w:rPr>
        <w:t>étaient pas conformes à l</w:t>
      </w:r>
      <w:r w:rsidR="00F20289">
        <w:rPr>
          <w:lang w:val="fr-FR"/>
        </w:rPr>
        <w:t>’</w:t>
      </w:r>
      <w:r w:rsidR="00A43DAC" w:rsidRPr="00FC71C0">
        <w:rPr>
          <w:lang w:val="fr-FR"/>
        </w:rPr>
        <w:t>intérêt de M.C. et étaient susceptibles de lui causer des souffrances majeures, car les grands-parents n</w:t>
      </w:r>
      <w:r w:rsidR="00F20289">
        <w:rPr>
          <w:lang w:val="fr-FR"/>
        </w:rPr>
        <w:t>’</w:t>
      </w:r>
      <w:r w:rsidR="00A43DAC" w:rsidRPr="00FC71C0">
        <w:rPr>
          <w:lang w:val="fr-FR"/>
        </w:rPr>
        <w:t>arrivaient pas à avoir une position autonome et indépendante de celle de leur fils.</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26</w:t>
      </w:r>
      <w:r w:rsidRPr="00FC71C0">
        <w:rPr>
          <w:lang w:val="fr-FR"/>
        </w:rPr>
        <w:fldChar w:fldCharType="end"/>
      </w:r>
      <w:r w:rsidRPr="00FC71C0">
        <w:rPr>
          <w:lang w:val="fr-FR"/>
        </w:rPr>
        <w:t>.  </w:t>
      </w:r>
      <w:r w:rsidR="00A43DAC" w:rsidRPr="00FC71C0">
        <w:rPr>
          <w:lang w:val="fr-FR"/>
        </w:rPr>
        <w:t xml:space="preserve">Par une lettre du 13 février 2007, les requérants dénoncèrent au tribunal les omissions graves des services sociaux, qui </w:t>
      </w:r>
      <w:r w:rsidR="00421D73" w:rsidRPr="00FC71C0">
        <w:rPr>
          <w:lang w:val="fr-FR"/>
        </w:rPr>
        <w:t>en dépit de</w:t>
      </w:r>
      <w:r w:rsidR="00A43DAC" w:rsidRPr="00FC71C0">
        <w:rPr>
          <w:lang w:val="fr-FR"/>
        </w:rPr>
        <w:t xml:space="preserve"> la décision du tribunal n</w:t>
      </w:r>
      <w:r w:rsidR="00F20289">
        <w:rPr>
          <w:lang w:val="fr-FR"/>
        </w:rPr>
        <w:t>’</w:t>
      </w:r>
      <w:r w:rsidR="00A43DAC" w:rsidRPr="00FC71C0">
        <w:rPr>
          <w:lang w:val="fr-FR"/>
        </w:rPr>
        <w:t>avaient jamais organisé les rencontres autorisées. Ils sollicitèrent à nouveau l</w:t>
      </w:r>
      <w:r w:rsidR="00F20289">
        <w:rPr>
          <w:lang w:val="fr-FR"/>
        </w:rPr>
        <w:t>’</w:t>
      </w:r>
      <w:r w:rsidR="00A43DAC" w:rsidRPr="00FC71C0">
        <w:rPr>
          <w:lang w:val="fr-FR"/>
        </w:rPr>
        <w:t>organisation de rencontres avec M.C., conformément à la décision du tribunal du 16 fév</w:t>
      </w:r>
      <w:r w:rsidR="000F384C" w:rsidRPr="00FC71C0">
        <w:rPr>
          <w:lang w:val="fr-FR"/>
        </w:rPr>
        <w:t>r</w:t>
      </w:r>
      <w:r w:rsidR="00A43DAC" w:rsidRPr="00FC71C0">
        <w:rPr>
          <w:lang w:val="fr-FR"/>
        </w:rPr>
        <w:t>ier 2006.</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27</w:t>
      </w:r>
      <w:r w:rsidRPr="00FC71C0">
        <w:rPr>
          <w:lang w:val="fr-FR"/>
        </w:rPr>
        <w:fldChar w:fldCharType="end"/>
      </w:r>
      <w:r w:rsidRPr="00FC71C0">
        <w:rPr>
          <w:lang w:val="fr-FR"/>
        </w:rPr>
        <w:t>.  </w:t>
      </w:r>
      <w:r w:rsidR="00A43DAC" w:rsidRPr="00FC71C0">
        <w:rPr>
          <w:lang w:val="fr-FR"/>
        </w:rPr>
        <w:t>Il ressort du dossier que les rencontres entre les requérants et M.C. n</w:t>
      </w:r>
      <w:r w:rsidR="00F20289">
        <w:rPr>
          <w:lang w:val="fr-FR"/>
        </w:rPr>
        <w:t>’</w:t>
      </w:r>
      <w:r w:rsidR="00A43DAC" w:rsidRPr="00FC71C0">
        <w:rPr>
          <w:lang w:val="fr-FR"/>
        </w:rPr>
        <w:t>eurent jamais lieu. Par une décision, déposée au greffe le 20 juin 2007, le tribunal</w:t>
      </w:r>
      <w:r w:rsidR="005202E3" w:rsidRPr="00FC71C0">
        <w:rPr>
          <w:lang w:val="fr-FR"/>
        </w:rPr>
        <w:t xml:space="preserve"> </w:t>
      </w:r>
      <w:r w:rsidR="001233E0" w:rsidRPr="00FC71C0">
        <w:rPr>
          <w:lang w:val="fr-FR"/>
        </w:rPr>
        <w:t xml:space="preserve">rendit </w:t>
      </w:r>
      <w:r w:rsidR="00A43DAC" w:rsidRPr="00FC71C0">
        <w:rPr>
          <w:lang w:val="fr-FR"/>
        </w:rPr>
        <w:t xml:space="preserve">un non-lieu </w:t>
      </w:r>
      <w:r w:rsidR="001233E0" w:rsidRPr="00FC71C0">
        <w:rPr>
          <w:lang w:val="fr-FR"/>
        </w:rPr>
        <w:t xml:space="preserve">sur </w:t>
      </w:r>
      <w:r w:rsidR="00A43DAC" w:rsidRPr="00FC71C0">
        <w:rPr>
          <w:lang w:val="fr-FR"/>
        </w:rPr>
        <w:t>la demande de déchéance de l</w:t>
      </w:r>
      <w:r w:rsidR="00F20289">
        <w:rPr>
          <w:lang w:val="fr-FR"/>
        </w:rPr>
        <w:t>’</w:t>
      </w:r>
      <w:r w:rsidR="00A43DAC" w:rsidRPr="00FC71C0">
        <w:rPr>
          <w:lang w:val="fr-FR"/>
        </w:rPr>
        <w:t>autorité parentale du père de M.C</w:t>
      </w:r>
      <w:r w:rsidR="001233E0" w:rsidRPr="00FC71C0">
        <w:rPr>
          <w:lang w:val="fr-FR"/>
        </w:rPr>
        <w:t xml:space="preserve">., </w:t>
      </w:r>
      <w:r w:rsidR="00CD31EB" w:rsidRPr="00FC71C0">
        <w:rPr>
          <w:lang w:val="fr-FR"/>
        </w:rPr>
        <w:t>eu égard à son acquittement</w:t>
      </w:r>
      <w:r w:rsidR="000016D6" w:rsidRPr="00FC71C0">
        <w:rPr>
          <w:lang w:val="fr-FR"/>
        </w:rPr>
        <w:t>,</w:t>
      </w:r>
      <w:r w:rsidR="001233E0" w:rsidRPr="00FC71C0">
        <w:rPr>
          <w:lang w:val="fr-FR"/>
        </w:rPr>
        <w:t> </w:t>
      </w:r>
      <w:r w:rsidR="00A43DAC" w:rsidRPr="00FC71C0">
        <w:rPr>
          <w:lang w:val="fr-FR"/>
        </w:rPr>
        <w:t xml:space="preserve"> et</w:t>
      </w:r>
      <w:r w:rsidR="005202E3" w:rsidRPr="00FC71C0">
        <w:rPr>
          <w:lang w:val="fr-FR"/>
        </w:rPr>
        <w:t xml:space="preserve"> </w:t>
      </w:r>
      <w:r w:rsidR="00A43DAC" w:rsidRPr="00FC71C0">
        <w:rPr>
          <w:lang w:val="fr-FR"/>
        </w:rPr>
        <w:t>ordonna la suspension des rencontres entre les requérants et M.C.</w:t>
      </w:r>
      <w:r w:rsidR="001233E0" w:rsidRPr="00FC71C0">
        <w:rPr>
          <w:lang w:val="fr-FR"/>
        </w:rPr>
        <w:t>, en se fondant sur le rapport des services sociaux.</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28</w:t>
      </w:r>
      <w:r w:rsidRPr="00FC71C0">
        <w:rPr>
          <w:lang w:val="fr-FR"/>
        </w:rPr>
        <w:fldChar w:fldCharType="end"/>
      </w:r>
      <w:r w:rsidRPr="00FC71C0">
        <w:rPr>
          <w:lang w:val="fr-FR"/>
        </w:rPr>
        <w:t>.  </w:t>
      </w:r>
      <w:r w:rsidR="00A43DAC" w:rsidRPr="00FC71C0">
        <w:rPr>
          <w:lang w:val="fr-FR"/>
        </w:rPr>
        <w:t>Les requérants interjetèrent appel de cette décision. Ils firent valoir que la décision du tribunal de suspendre les rencontres, fondée sur le prétendu malaise de M.C. vis-à-vis de ses grands-parents à cause du lien de ceux-ci avec son père, ne prenait pas en compte le fait que D.N. avait été acquitté.</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29</w:t>
      </w:r>
      <w:r w:rsidRPr="00FC71C0">
        <w:rPr>
          <w:lang w:val="fr-FR"/>
        </w:rPr>
        <w:fldChar w:fldCharType="end"/>
      </w:r>
      <w:r w:rsidRPr="00FC71C0">
        <w:rPr>
          <w:lang w:val="fr-FR"/>
        </w:rPr>
        <w:t>.  </w:t>
      </w:r>
      <w:r w:rsidR="00A43DAC" w:rsidRPr="00FC71C0">
        <w:rPr>
          <w:lang w:val="fr-FR"/>
        </w:rPr>
        <w:t>Par une décision déposée au greffe le 19 avril 2008, la cour d</w:t>
      </w:r>
      <w:r w:rsidR="00F20289">
        <w:rPr>
          <w:lang w:val="fr-FR"/>
        </w:rPr>
        <w:t>’</w:t>
      </w:r>
      <w:r w:rsidR="00A43DAC" w:rsidRPr="00FC71C0">
        <w:rPr>
          <w:lang w:val="fr-FR"/>
        </w:rPr>
        <w:t xml:space="preserve">appel de Turin </w:t>
      </w:r>
      <w:r w:rsidR="00D20865" w:rsidRPr="00FC71C0">
        <w:rPr>
          <w:lang w:val="fr-FR"/>
        </w:rPr>
        <w:t xml:space="preserve">jugea </w:t>
      </w:r>
      <w:r w:rsidR="00A43DAC" w:rsidRPr="00FC71C0">
        <w:rPr>
          <w:lang w:val="fr-FR"/>
        </w:rPr>
        <w:t>que le fait que D.N. avait été acquitté n</w:t>
      </w:r>
      <w:r w:rsidR="00F20289">
        <w:rPr>
          <w:lang w:val="fr-FR"/>
        </w:rPr>
        <w:t>’</w:t>
      </w:r>
      <w:r w:rsidR="00A43DAC" w:rsidRPr="00FC71C0">
        <w:rPr>
          <w:lang w:val="fr-FR"/>
        </w:rPr>
        <w:t>était pas un élément suffisant pour exclure que le malaise de l</w:t>
      </w:r>
      <w:r w:rsidR="00F20289">
        <w:rPr>
          <w:lang w:val="fr-FR"/>
        </w:rPr>
        <w:t>’</w:t>
      </w:r>
      <w:r w:rsidR="00A43DAC" w:rsidRPr="00FC71C0">
        <w:rPr>
          <w:lang w:val="fr-FR"/>
        </w:rPr>
        <w:t>enfant trouv</w:t>
      </w:r>
      <w:r w:rsidR="00D20865" w:rsidRPr="00FC71C0">
        <w:rPr>
          <w:lang w:val="fr-FR"/>
        </w:rPr>
        <w:t>ât</w:t>
      </w:r>
      <w:r w:rsidR="00A43DAC" w:rsidRPr="00FC71C0">
        <w:rPr>
          <w:lang w:val="fr-FR"/>
        </w:rPr>
        <w:t xml:space="preserve"> sa cause dans les attouchements sexuels subis</w:t>
      </w:r>
      <w:r w:rsidR="006B4DDD" w:rsidRPr="00FC71C0">
        <w:rPr>
          <w:lang w:val="fr-FR"/>
        </w:rPr>
        <w:t xml:space="preserve">. </w:t>
      </w:r>
      <w:r w:rsidR="00A43DAC" w:rsidRPr="00FC71C0">
        <w:rPr>
          <w:lang w:val="fr-FR"/>
        </w:rPr>
        <w:t>S</w:t>
      </w:r>
      <w:r w:rsidR="00F20289">
        <w:rPr>
          <w:lang w:val="fr-FR"/>
        </w:rPr>
        <w:t>’</w:t>
      </w:r>
      <w:r w:rsidR="00A43DAC" w:rsidRPr="00FC71C0">
        <w:rPr>
          <w:lang w:val="fr-FR"/>
        </w:rPr>
        <w:t xml:space="preserve">appuyant sur les rapports des services sociaux et des psychologues dénonçant le refus de la mineure de rencontrer ses grands-parents et la difficulté </w:t>
      </w:r>
      <w:r w:rsidR="00421D73" w:rsidRPr="00FC71C0">
        <w:rPr>
          <w:lang w:val="fr-FR"/>
        </w:rPr>
        <w:t xml:space="preserve">pour </w:t>
      </w:r>
      <w:r w:rsidR="00A43DAC" w:rsidRPr="00FC71C0">
        <w:rPr>
          <w:lang w:val="fr-FR"/>
        </w:rPr>
        <w:t>ces derniers de comprendre le refus de l</w:t>
      </w:r>
      <w:r w:rsidR="00F20289">
        <w:rPr>
          <w:lang w:val="fr-FR"/>
        </w:rPr>
        <w:t>’</w:t>
      </w:r>
      <w:r w:rsidR="00A43DAC" w:rsidRPr="00FC71C0">
        <w:rPr>
          <w:lang w:val="fr-FR"/>
        </w:rPr>
        <w:t>enfant, la cour d</w:t>
      </w:r>
      <w:r w:rsidR="00F20289">
        <w:rPr>
          <w:lang w:val="fr-FR"/>
        </w:rPr>
        <w:t>’</w:t>
      </w:r>
      <w:r w:rsidR="00A43DAC" w:rsidRPr="00FC71C0">
        <w:rPr>
          <w:lang w:val="fr-FR"/>
        </w:rPr>
        <w:t>appel confirma l</w:t>
      </w:r>
      <w:r w:rsidR="00F20289">
        <w:rPr>
          <w:lang w:val="fr-FR"/>
        </w:rPr>
        <w:t>’</w:t>
      </w:r>
      <w:r w:rsidR="00A43DAC" w:rsidRPr="00FC71C0">
        <w:rPr>
          <w:lang w:val="fr-FR"/>
        </w:rPr>
        <w:t>interdiction pour les requérants de rencontrer l</w:t>
      </w:r>
      <w:r w:rsidR="00F20289">
        <w:rPr>
          <w:lang w:val="fr-FR"/>
        </w:rPr>
        <w:t>’</w:t>
      </w:r>
      <w:r w:rsidR="00A43DAC" w:rsidRPr="00FC71C0">
        <w:rPr>
          <w:lang w:val="fr-FR"/>
        </w:rPr>
        <w:t>enfant.</w:t>
      </w:r>
    </w:p>
    <w:p w:rsidR="00A43DAC" w:rsidRPr="00FC71C0" w:rsidRDefault="0033368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30</w:t>
      </w:r>
      <w:r w:rsidRPr="00FC71C0">
        <w:rPr>
          <w:lang w:val="fr-FR"/>
        </w:rPr>
        <w:fldChar w:fldCharType="end"/>
      </w:r>
      <w:r w:rsidRPr="00FC71C0">
        <w:rPr>
          <w:lang w:val="fr-FR"/>
        </w:rPr>
        <w:t>.  </w:t>
      </w:r>
      <w:r w:rsidR="00A43DAC" w:rsidRPr="00FC71C0">
        <w:rPr>
          <w:lang w:val="fr-FR"/>
        </w:rPr>
        <w:t>Les requérants se pourvurent en cassation. Par une décision déposée au greffe le 17 juin 2009, la Cour de cassation débouta les requérants de leur pourvoi.</w:t>
      </w:r>
    </w:p>
    <w:p w:rsidR="00E77CB3" w:rsidRPr="00FC71C0" w:rsidRDefault="00E77CB3" w:rsidP="00FC71C0">
      <w:pPr>
        <w:pStyle w:val="ECHRTitle1"/>
        <w:rPr>
          <w:lang w:val="fr-FR"/>
        </w:rPr>
      </w:pPr>
      <w:r w:rsidRPr="00FC71C0">
        <w:rPr>
          <w:lang w:val="fr-FR"/>
        </w:rPr>
        <w:t>EN DROIT</w:t>
      </w:r>
    </w:p>
    <w:p w:rsidR="00E77CB3" w:rsidRPr="00FC71C0" w:rsidRDefault="00E77CB3" w:rsidP="00FC71C0">
      <w:pPr>
        <w:pStyle w:val="ECHRHeading1"/>
        <w:rPr>
          <w:lang w:val="fr-FR"/>
        </w:rPr>
      </w:pPr>
      <w:r w:rsidRPr="00FC71C0">
        <w:rPr>
          <w:lang w:val="fr-FR"/>
        </w:rPr>
        <w:t>I.  SUR LA VIOLATION ALLÉGUÉE DE L</w:t>
      </w:r>
      <w:r w:rsidR="00F20289">
        <w:rPr>
          <w:lang w:val="fr-FR"/>
        </w:rPr>
        <w:t>’</w:t>
      </w:r>
      <w:r w:rsidRPr="00FC71C0">
        <w:rPr>
          <w:lang w:val="fr-FR"/>
        </w:rPr>
        <w:t>ARTICLE</w:t>
      </w:r>
      <w:r w:rsidR="008068D5" w:rsidRPr="00FC71C0">
        <w:rPr>
          <w:lang w:val="fr-FR"/>
        </w:rPr>
        <w:t> </w:t>
      </w:r>
      <w:r w:rsidR="00F63E69" w:rsidRPr="00FC71C0">
        <w:rPr>
          <w:lang w:val="fr-FR"/>
        </w:rPr>
        <w:t>8</w:t>
      </w:r>
      <w:r w:rsidRPr="00FC71C0">
        <w:rPr>
          <w:lang w:val="fr-FR"/>
        </w:rPr>
        <w:t xml:space="preserve"> DE LA CONVENTION</w:t>
      </w:r>
    </w:p>
    <w:p w:rsidR="00FC71C0"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31</w:t>
      </w:r>
      <w:r w:rsidRPr="00FC71C0">
        <w:rPr>
          <w:lang w:val="fr-FR"/>
        </w:rPr>
        <w:fldChar w:fldCharType="end"/>
      </w:r>
      <w:r w:rsidR="00E77CB3" w:rsidRPr="00FC71C0">
        <w:rPr>
          <w:lang w:val="fr-FR"/>
        </w:rPr>
        <w:t>.  </w:t>
      </w:r>
      <w:r w:rsidR="00060F13" w:rsidRPr="00FC71C0">
        <w:rPr>
          <w:lang w:val="fr-FR"/>
        </w:rPr>
        <w:t>Sous l</w:t>
      </w:r>
      <w:r w:rsidR="00F20289">
        <w:rPr>
          <w:lang w:val="fr-FR"/>
        </w:rPr>
        <w:t>’</w:t>
      </w:r>
      <w:r w:rsidR="00060F13" w:rsidRPr="00FC71C0">
        <w:rPr>
          <w:lang w:val="fr-FR"/>
        </w:rPr>
        <w:t>angle de l</w:t>
      </w:r>
      <w:r w:rsidR="00F20289">
        <w:rPr>
          <w:lang w:val="fr-FR"/>
        </w:rPr>
        <w:t>’</w:t>
      </w:r>
      <w:r w:rsidR="00060F13" w:rsidRPr="00FC71C0">
        <w:rPr>
          <w:lang w:val="fr-FR"/>
        </w:rPr>
        <w:t>article</w:t>
      </w:r>
      <w:r w:rsidR="008068D5" w:rsidRPr="00FC71C0">
        <w:rPr>
          <w:lang w:val="fr-FR"/>
        </w:rPr>
        <w:t> </w:t>
      </w:r>
      <w:r w:rsidR="00060F13" w:rsidRPr="00FC71C0">
        <w:rPr>
          <w:lang w:val="fr-FR"/>
        </w:rPr>
        <w:t>8 de la Convention, l</w:t>
      </w:r>
      <w:r w:rsidRPr="00FC71C0">
        <w:rPr>
          <w:lang w:val="fr-FR"/>
        </w:rPr>
        <w:t>es requérants</w:t>
      </w:r>
      <w:r w:rsidR="00E77CB3" w:rsidRPr="00FC71C0">
        <w:rPr>
          <w:lang w:val="fr-FR"/>
        </w:rPr>
        <w:t xml:space="preserve"> </w:t>
      </w:r>
      <w:r w:rsidR="00060F13" w:rsidRPr="00FC71C0">
        <w:rPr>
          <w:lang w:val="fr-FR"/>
        </w:rPr>
        <w:t xml:space="preserve">se plaignent de la violation de leur droit au respect de la vie familiale en raison de la durée excessive de la procédure </w:t>
      </w:r>
      <w:r w:rsidR="00421D73" w:rsidRPr="00FC71C0">
        <w:rPr>
          <w:lang w:val="fr-FR"/>
        </w:rPr>
        <w:t>aux fins de</w:t>
      </w:r>
      <w:r w:rsidR="00896C48" w:rsidRPr="00FC71C0">
        <w:rPr>
          <w:lang w:val="fr-FR"/>
        </w:rPr>
        <w:t xml:space="preserve"> </w:t>
      </w:r>
      <w:r w:rsidR="00060F13" w:rsidRPr="00FC71C0">
        <w:rPr>
          <w:lang w:val="fr-FR"/>
        </w:rPr>
        <w:t>l</w:t>
      </w:r>
      <w:r w:rsidR="00F20289">
        <w:rPr>
          <w:lang w:val="fr-FR"/>
        </w:rPr>
        <w:t>’</w:t>
      </w:r>
      <w:r w:rsidR="00060F13" w:rsidRPr="00FC71C0">
        <w:rPr>
          <w:lang w:val="fr-FR"/>
        </w:rPr>
        <w:t>autorisation des rencontres</w:t>
      </w:r>
      <w:r w:rsidR="00421D73" w:rsidRPr="00FC71C0">
        <w:rPr>
          <w:lang w:val="fr-FR"/>
        </w:rPr>
        <w:t xml:space="preserve"> avec l</w:t>
      </w:r>
      <w:r w:rsidR="00F20289">
        <w:rPr>
          <w:lang w:val="fr-FR"/>
        </w:rPr>
        <w:t>’</w:t>
      </w:r>
      <w:r w:rsidR="00421D73" w:rsidRPr="00FC71C0">
        <w:rPr>
          <w:lang w:val="fr-FR"/>
        </w:rPr>
        <w:t>enfant</w:t>
      </w:r>
      <w:r w:rsidR="00060F13" w:rsidRPr="00FC71C0">
        <w:rPr>
          <w:lang w:val="fr-FR"/>
        </w:rPr>
        <w:t xml:space="preserve"> et en raison du fait que les services sociaux n</w:t>
      </w:r>
      <w:r w:rsidR="00F20289">
        <w:rPr>
          <w:lang w:val="fr-FR"/>
        </w:rPr>
        <w:t>’</w:t>
      </w:r>
      <w:r w:rsidR="00060F13" w:rsidRPr="00FC71C0">
        <w:rPr>
          <w:lang w:val="fr-FR"/>
        </w:rPr>
        <w:t>ont pas mis en œuvre la décision du tribunal autorisant les rencontres.</w:t>
      </w:r>
    </w:p>
    <w:p w:rsidR="00FC71C0" w:rsidRPr="00FC71C0" w:rsidRDefault="00060F13" w:rsidP="00FC71C0">
      <w:pPr>
        <w:pStyle w:val="ECHRPara"/>
        <w:rPr>
          <w:lang w:val="fr-FR"/>
        </w:rPr>
      </w:pPr>
      <w:r w:rsidRPr="00FC71C0">
        <w:rPr>
          <w:lang w:val="fr-FR"/>
        </w:rPr>
        <w:t>Sous l</w:t>
      </w:r>
      <w:r w:rsidR="00F20289">
        <w:rPr>
          <w:lang w:val="fr-FR"/>
        </w:rPr>
        <w:t>’</w:t>
      </w:r>
      <w:r w:rsidRPr="00FC71C0">
        <w:rPr>
          <w:lang w:val="fr-FR"/>
        </w:rPr>
        <w:t>angle de l</w:t>
      </w:r>
      <w:r w:rsidR="00F20289">
        <w:rPr>
          <w:lang w:val="fr-FR"/>
        </w:rPr>
        <w:t>’</w:t>
      </w:r>
      <w:r w:rsidRPr="00FC71C0">
        <w:rPr>
          <w:lang w:val="fr-FR"/>
        </w:rPr>
        <w:t>article</w:t>
      </w:r>
      <w:r w:rsidR="008068D5" w:rsidRPr="00FC71C0">
        <w:rPr>
          <w:lang w:val="fr-FR"/>
        </w:rPr>
        <w:t> </w:t>
      </w:r>
      <w:r w:rsidRPr="00FC71C0">
        <w:rPr>
          <w:lang w:val="fr-FR"/>
        </w:rPr>
        <w:t>6 de la Convention, les requérants se plaignent du manque d</w:t>
      </w:r>
      <w:r w:rsidR="00F20289">
        <w:rPr>
          <w:lang w:val="fr-FR"/>
        </w:rPr>
        <w:t>’</w:t>
      </w:r>
      <w:r w:rsidRPr="00FC71C0">
        <w:rPr>
          <w:lang w:val="fr-FR"/>
        </w:rPr>
        <w:t xml:space="preserve">équité de </w:t>
      </w:r>
      <w:r w:rsidR="00896C48" w:rsidRPr="00FC71C0">
        <w:rPr>
          <w:lang w:val="fr-FR"/>
        </w:rPr>
        <w:t xml:space="preserve">la </w:t>
      </w:r>
      <w:r w:rsidR="00E25A64" w:rsidRPr="00FC71C0">
        <w:rPr>
          <w:lang w:val="fr-FR"/>
        </w:rPr>
        <w:t xml:space="preserve">procédure et en particulier de </w:t>
      </w:r>
      <w:r w:rsidRPr="00FC71C0">
        <w:rPr>
          <w:lang w:val="fr-FR"/>
        </w:rPr>
        <w:t xml:space="preserve">la décision du tribunal pour enfants de </w:t>
      </w:r>
      <w:r w:rsidR="002301E3" w:rsidRPr="00FC71C0">
        <w:rPr>
          <w:lang w:val="fr-FR"/>
        </w:rPr>
        <w:t>suspendre</w:t>
      </w:r>
      <w:r w:rsidRPr="00FC71C0">
        <w:rPr>
          <w:lang w:val="fr-FR"/>
        </w:rPr>
        <w:t xml:space="preserve"> les rencontres.</w:t>
      </w:r>
    </w:p>
    <w:p w:rsidR="00F1491D" w:rsidRPr="00FC71C0" w:rsidRDefault="00060F1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32</w:t>
      </w:r>
      <w:r w:rsidRPr="00FC71C0">
        <w:rPr>
          <w:lang w:val="fr-FR"/>
        </w:rPr>
        <w:fldChar w:fldCharType="end"/>
      </w:r>
      <w:r w:rsidRPr="00FC71C0">
        <w:rPr>
          <w:lang w:val="fr-FR"/>
        </w:rPr>
        <w:t>.  </w:t>
      </w:r>
      <w:r w:rsidR="00F1491D" w:rsidRPr="00FC71C0">
        <w:rPr>
          <w:lang w:val="fr-FR"/>
        </w:rPr>
        <w:t>Maîtresse de la qualification juridique des faits de la cause, la Cour estime approprié d</w:t>
      </w:r>
      <w:r w:rsidR="00F20289">
        <w:rPr>
          <w:lang w:val="fr-FR"/>
        </w:rPr>
        <w:t>’</w:t>
      </w:r>
      <w:r w:rsidR="00F1491D" w:rsidRPr="00FC71C0">
        <w:rPr>
          <w:lang w:val="fr-FR"/>
        </w:rPr>
        <w:t>examiner les griefs soulevés par le</w:t>
      </w:r>
      <w:r w:rsidR="007C6953" w:rsidRPr="00FC71C0">
        <w:rPr>
          <w:lang w:val="fr-FR"/>
        </w:rPr>
        <w:t>s</w:t>
      </w:r>
      <w:r w:rsidR="00F1491D" w:rsidRPr="00FC71C0">
        <w:rPr>
          <w:lang w:val="fr-FR"/>
        </w:rPr>
        <w:t xml:space="preserve"> requérant</w:t>
      </w:r>
      <w:r w:rsidR="007C6953" w:rsidRPr="00FC71C0">
        <w:rPr>
          <w:lang w:val="fr-FR"/>
        </w:rPr>
        <w:t>s</w:t>
      </w:r>
      <w:r w:rsidR="00F1491D" w:rsidRPr="00FC71C0">
        <w:rPr>
          <w:lang w:val="fr-FR"/>
        </w:rPr>
        <w:t xml:space="preserve"> uniquement sous l</w:t>
      </w:r>
      <w:r w:rsidR="00F20289">
        <w:rPr>
          <w:lang w:val="fr-FR"/>
        </w:rPr>
        <w:t>’</w:t>
      </w:r>
      <w:r w:rsidR="00F1491D" w:rsidRPr="00FC71C0">
        <w:rPr>
          <w:lang w:val="fr-FR"/>
        </w:rPr>
        <w:t>angle de l</w:t>
      </w:r>
      <w:r w:rsidR="00F20289">
        <w:rPr>
          <w:lang w:val="fr-FR"/>
        </w:rPr>
        <w:t>’</w:t>
      </w:r>
      <w:r w:rsidR="00F1491D" w:rsidRPr="00FC71C0">
        <w:rPr>
          <w:lang w:val="fr-FR"/>
        </w:rPr>
        <w:t>article</w:t>
      </w:r>
      <w:r w:rsidR="008068D5" w:rsidRPr="00FC71C0">
        <w:rPr>
          <w:lang w:val="fr-FR"/>
        </w:rPr>
        <w:t> </w:t>
      </w:r>
      <w:r w:rsidR="00F1491D" w:rsidRPr="00FC71C0">
        <w:rPr>
          <w:lang w:val="fr-FR"/>
        </w:rPr>
        <w:t>8, lequel exige que le processus décisionnel débouchant sur des mesures d</w:t>
      </w:r>
      <w:r w:rsidR="00F20289">
        <w:rPr>
          <w:lang w:val="fr-FR"/>
        </w:rPr>
        <w:t>’</w:t>
      </w:r>
      <w:r w:rsidR="00F1491D" w:rsidRPr="00FC71C0">
        <w:rPr>
          <w:lang w:val="fr-FR"/>
        </w:rPr>
        <w:t>ingérence soit équitable et respecte, comme il se doit, les intérêts protégés par cette disposition (</w:t>
      </w:r>
      <w:r w:rsidR="00563864" w:rsidRPr="00FC71C0">
        <w:rPr>
          <w:i/>
          <w:iCs/>
          <w:lang w:val="fr-FR"/>
        </w:rPr>
        <w:t>Söderman c. Suède</w:t>
      </w:r>
      <w:r w:rsidR="00563864" w:rsidRPr="00FC71C0">
        <w:rPr>
          <w:lang w:val="fr-FR"/>
        </w:rPr>
        <w:t xml:space="preserve"> [GC], n</w:t>
      </w:r>
      <w:r w:rsidR="00093A1F" w:rsidRPr="00FC71C0">
        <w:rPr>
          <w:vertAlign w:val="superscript"/>
          <w:lang w:val="fr-FR"/>
        </w:rPr>
        <w:t>o</w:t>
      </w:r>
      <w:r w:rsidR="00563864" w:rsidRPr="00FC71C0">
        <w:rPr>
          <w:lang w:val="fr-FR"/>
        </w:rPr>
        <w:t xml:space="preserve">  5786/08, § 57, CEDH 2013, </w:t>
      </w:r>
      <w:r w:rsidR="00563864" w:rsidRPr="00FC71C0">
        <w:rPr>
          <w:i/>
          <w:iCs/>
          <w:lang w:val="fr-FR"/>
        </w:rPr>
        <w:t>Aksu c. Turquie</w:t>
      </w:r>
      <w:r w:rsidR="00563864" w:rsidRPr="00FC71C0">
        <w:rPr>
          <w:lang w:val="fr-FR"/>
        </w:rPr>
        <w:t xml:space="preserve"> [GC], n</w:t>
      </w:r>
      <w:r w:rsidR="00563864" w:rsidRPr="00FC71C0">
        <w:rPr>
          <w:vertAlign w:val="superscript"/>
          <w:lang w:val="fr-FR"/>
        </w:rPr>
        <w:t>os</w:t>
      </w:r>
      <w:r w:rsidR="00563864" w:rsidRPr="00FC71C0">
        <w:rPr>
          <w:lang w:val="fr-FR"/>
        </w:rPr>
        <w:t xml:space="preserve"> </w:t>
      </w:r>
      <w:r w:rsidR="00562BAC" w:rsidRPr="00FC71C0">
        <w:rPr>
          <w:lang w:val="fr-FR"/>
        </w:rPr>
        <w:t>4149/04</w:t>
      </w:r>
      <w:r w:rsidR="00563864" w:rsidRPr="00FC71C0">
        <w:rPr>
          <w:lang w:val="fr-FR"/>
        </w:rPr>
        <w:t xml:space="preserve"> et </w:t>
      </w:r>
      <w:r w:rsidR="00562BAC" w:rsidRPr="00FC71C0">
        <w:rPr>
          <w:lang w:val="fr-FR"/>
        </w:rPr>
        <w:t>41029/04</w:t>
      </w:r>
      <w:r w:rsidR="00563864" w:rsidRPr="00FC71C0">
        <w:rPr>
          <w:lang w:val="fr-FR"/>
        </w:rPr>
        <w:t xml:space="preserve">, § 43, CEDH 2012 ; </w:t>
      </w:r>
      <w:r w:rsidR="00F1491D" w:rsidRPr="00FC71C0">
        <w:rPr>
          <w:i/>
          <w:lang w:val="fr-FR"/>
        </w:rPr>
        <w:t>Moretti et Benedetti c. Italie</w:t>
      </w:r>
      <w:r w:rsidR="00F1491D" w:rsidRPr="00FC71C0">
        <w:rPr>
          <w:lang w:val="fr-FR"/>
        </w:rPr>
        <w:t>, n</w:t>
      </w:r>
      <w:r w:rsidR="00F1491D" w:rsidRPr="00FC71C0">
        <w:rPr>
          <w:vertAlign w:val="superscript"/>
          <w:lang w:val="fr-FR"/>
        </w:rPr>
        <w:t>o</w:t>
      </w:r>
      <w:r w:rsidR="008068D5" w:rsidRPr="00FC71C0">
        <w:rPr>
          <w:lang w:val="fr-FR"/>
        </w:rPr>
        <w:t> </w:t>
      </w:r>
      <w:r w:rsidR="00F1491D" w:rsidRPr="00FC71C0">
        <w:rPr>
          <w:lang w:val="fr-FR"/>
        </w:rPr>
        <w:t>16318/07</w:t>
      </w:r>
      <w:r w:rsidR="00F1491D" w:rsidRPr="00FC71C0">
        <w:rPr>
          <w:szCs w:val="24"/>
          <w:lang w:val="fr-FR"/>
        </w:rPr>
        <w:t xml:space="preserve">, § 27, </w:t>
      </w:r>
      <w:r w:rsidR="00563864" w:rsidRPr="00FC71C0">
        <w:rPr>
          <w:lang w:val="fr-FR"/>
        </w:rPr>
        <w:t>27 avril 2010</w:t>
      </w:r>
      <w:r w:rsidR="00F1491D" w:rsidRPr="00FC71C0">
        <w:rPr>
          <w:lang w:val="fr-FR"/>
        </w:rPr>
        <w:t>).</w:t>
      </w:r>
    </w:p>
    <w:p w:rsidR="00E77CB3" w:rsidRPr="00FC71C0" w:rsidRDefault="00F1491D"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33</w:t>
      </w:r>
      <w:r w:rsidRPr="00FC71C0">
        <w:rPr>
          <w:lang w:val="fr-FR"/>
        </w:rPr>
        <w:fldChar w:fldCharType="end"/>
      </w:r>
      <w:r w:rsidRPr="00FC71C0">
        <w:rPr>
          <w:lang w:val="fr-FR"/>
        </w:rPr>
        <w:t>.</w:t>
      </w:r>
      <w:r w:rsidR="006D64DD" w:rsidRPr="00FC71C0">
        <w:rPr>
          <w:lang w:val="fr-FR"/>
        </w:rPr>
        <w:t>  </w:t>
      </w:r>
      <w:r w:rsidRPr="00FC71C0">
        <w:rPr>
          <w:lang w:val="fr-FR"/>
        </w:rPr>
        <w:t>L</w:t>
      </w:r>
      <w:r w:rsidR="00F20289">
        <w:rPr>
          <w:lang w:val="fr-FR"/>
        </w:rPr>
        <w:t>’</w:t>
      </w:r>
      <w:r w:rsidRPr="00FC71C0">
        <w:rPr>
          <w:lang w:val="fr-FR"/>
        </w:rPr>
        <w:t>article</w:t>
      </w:r>
      <w:r w:rsidR="008068D5" w:rsidRPr="00FC71C0">
        <w:rPr>
          <w:lang w:val="fr-FR"/>
        </w:rPr>
        <w:t> </w:t>
      </w:r>
      <w:r w:rsidRPr="00FC71C0">
        <w:rPr>
          <w:lang w:val="fr-FR"/>
        </w:rPr>
        <w:t>8 de la Convention dispose ainsi dans ses parties pertinentes</w:t>
      </w:r>
      <w:r w:rsidR="00E77CB3" w:rsidRPr="00FC71C0">
        <w:rPr>
          <w:lang w:val="fr-FR"/>
        </w:rPr>
        <w:t> :</w:t>
      </w:r>
    </w:p>
    <w:p w:rsidR="00F1491D" w:rsidRPr="00FC71C0" w:rsidRDefault="00F1491D" w:rsidP="00FC71C0">
      <w:pPr>
        <w:pStyle w:val="ECHRParaQuote"/>
        <w:rPr>
          <w:lang w:val="fr-FR"/>
        </w:rPr>
      </w:pPr>
      <w:r w:rsidRPr="00FC71C0">
        <w:rPr>
          <w:lang w:val="fr-FR"/>
        </w:rPr>
        <w:t>« 1.  Toute personne a droit au respect de sa vie (</w:t>
      </w:r>
      <w:r w:rsidR="00093A1F" w:rsidRPr="00FC71C0">
        <w:rPr>
          <w:lang w:val="fr-FR"/>
        </w:rPr>
        <w:t>...</w:t>
      </w:r>
      <w:r w:rsidRPr="00FC71C0">
        <w:rPr>
          <w:lang w:val="fr-FR"/>
        </w:rPr>
        <w:t>) familiale, (</w:t>
      </w:r>
      <w:r w:rsidR="00093A1F" w:rsidRPr="00FC71C0">
        <w:rPr>
          <w:lang w:val="fr-FR"/>
        </w:rPr>
        <w:t>...</w:t>
      </w:r>
      <w:r w:rsidRPr="00FC71C0">
        <w:rPr>
          <w:lang w:val="fr-FR"/>
        </w:rPr>
        <w:t>).</w:t>
      </w:r>
    </w:p>
    <w:p w:rsidR="00E77CB3" w:rsidRPr="00FC71C0" w:rsidRDefault="00F1491D" w:rsidP="00FC71C0">
      <w:pPr>
        <w:pStyle w:val="ECHRParaQuote"/>
        <w:rPr>
          <w:lang w:val="fr-FR"/>
        </w:rPr>
      </w:pPr>
      <w:r w:rsidRPr="00FC71C0">
        <w:rPr>
          <w:lang w:val="fr-FR"/>
        </w:rPr>
        <w:t>2.  Il ne peut y avoir ingérence d</w:t>
      </w:r>
      <w:r w:rsidR="00F20289">
        <w:rPr>
          <w:lang w:val="fr-FR"/>
        </w:rPr>
        <w:t>’</w:t>
      </w:r>
      <w:r w:rsidRPr="00FC71C0">
        <w:rPr>
          <w:lang w:val="fr-FR"/>
        </w:rPr>
        <w:t>une autorité publique dans l</w:t>
      </w:r>
      <w:r w:rsidR="00F20289">
        <w:rPr>
          <w:lang w:val="fr-FR"/>
        </w:rPr>
        <w:t>’</w:t>
      </w:r>
      <w:r w:rsidRPr="00FC71C0">
        <w:rPr>
          <w:lang w:val="fr-FR"/>
        </w:rPr>
        <w:t>exercice de ce droit que pour autant que cette ingérence est prévue par la loi et qu</w:t>
      </w:r>
      <w:r w:rsidR="00F20289">
        <w:rPr>
          <w:lang w:val="fr-FR"/>
        </w:rPr>
        <w:t>’</w:t>
      </w:r>
      <w:r w:rsidRPr="00FC71C0">
        <w:rPr>
          <w:lang w:val="fr-FR"/>
        </w:rPr>
        <w:t>elle constitue une mesure qui, dans une société démocratique, est nécessaire à la sécurité nationale, à la sûreté publique, au bien</w:t>
      </w:r>
      <w:r w:rsidRPr="00FC71C0">
        <w:rPr>
          <w:lang w:val="fr-FR"/>
        </w:rPr>
        <w:noBreakHyphen/>
        <w:t>être économique du pays, à la défense de l</w:t>
      </w:r>
      <w:r w:rsidR="00F20289">
        <w:rPr>
          <w:lang w:val="fr-FR"/>
        </w:rPr>
        <w:t>’</w:t>
      </w:r>
      <w:r w:rsidRPr="00FC71C0">
        <w:rPr>
          <w:lang w:val="fr-FR"/>
        </w:rPr>
        <w:t>ordre et à la prévention des infractions pénales, à la protection de la santé ou de la morale, ou à la protection des droits et libertés d</w:t>
      </w:r>
      <w:r w:rsidR="00F20289">
        <w:rPr>
          <w:lang w:val="fr-FR"/>
        </w:rPr>
        <w:t>’</w:t>
      </w:r>
      <w:r w:rsidRPr="00FC71C0">
        <w:rPr>
          <w:lang w:val="fr-FR"/>
        </w:rPr>
        <w:t>autrui. »</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34</w:t>
      </w:r>
      <w:r w:rsidRPr="00FC71C0">
        <w:rPr>
          <w:lang w:val="fr-FR"/>
        </w:rPr>
        <w:fldChar w:fldCharType="end"/>
      </w:r>
      <w:r w:rsidR="00E77CB3" w:rsidRPr="00FC71C0">
        <w:rPr>
          <w:lang w:val="fr-FR"/>
        </w:rPr>
        <w:t xml:space="preserve">.  Le Gouvernement </w:t>
      </w:r>
      <w:r w:rsidR="000F384C" w:rsidRPr="00FC71C0">
        <w:rPr>
          <w:lang w:val="fr-FR"/>
        </w:rPr>
        <w:t>conteste cette thèse</w:t>
      </w:r>
      <w:r w:rsidR="00E77CB3" w:rsidRPr="00FC71C0">
        <w:rPr>
          <w:lang w:val="fr-FR"/>
        </w:rPr>
        <w:t>.</w:t>
      </w:r>
    </w:p>
    <w:p w:rsidR="00E77CB3" w:rsidRPr="00FC71C0" w:rsidRDefault="00E77CB3" w:rsidP="00FC71C0">
      <w:pPr>
        <w:pStyle w:val="ECHRHeading2"/>
        <w:rPr>
          <w:lang w:val="fr-FR"/>
        </w:rPr>
      </w:pPr>
      <w:r w:rsidRPr="00FC71C0">
        <w:rPr>
          <w:lang w:val="fr-FR"/>
        </w:rPr>
        <w:t>A.  Sur la recevabilité</w:t>
      </w:r>
    </w:p>
    <w:p w:rsidR="00FC71C0"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35</w:t>
      </w:r>
      <w:r w:rsidRPr="00FC71C0">
        <w:rPr>
          <w:lang w:val="fr-FR"/>
        </w:rPr>
        <w:fldChar w:fldCharType="end"/>
      </w:r>
      <w:r w:rsidR="00E77CB3" w:rsidRPr="00FC71C0">
        <w:rPr>
          <w:lang w:val="fr-FR"/>
        </w:rPr>
        <w:t xml:space="preserve">.  La Cour constate que </w:t>
      </w:r>
      <w:r w:rsidRPr="00FC71C0">
        <w:rPr>
          <w:lang w:val="fr-FR"/>
        </w:rPr>
        <w:t>l</w:t>
      </w:r>
      <w:r w:rsidR="00D7015E" w:rsidRPr="00FC71C0">
        <w:rPr>
          <w:lang w:val="fr-FR"/>
        </w:rPr>
        <w:t>e grief tiré de l</w:t>
      </w:r>
      <w:r w:rsidR="00F20289">
        <w:rPr>
          <w:lang w:val="fr-FR"/>
        </w:rPr>
        <w:t>’</w:t>
      </w:r>
      <w:r w:rsidR="00D7015E" w:rsidRPr="00FC71C0">
        <w:rPr>
          <w:lang w:val="fr-FR"/>
        </w:rPr>
        <w:t>article</w:t>
      </w:r>
      <w:r w:rsidR="008068D5" w:rsidRPr="00FC71C0">
        <w:rPr>
          <w:lang w:val="fr-FR"/>
        </w:rPr>
        <w:t> </w:t>
      </w:r>
      <w:r w:rsidR="00D7015E" w:rsidRPr="00FC71C0">
        <w:rPr>
          <w:lang w:val="fr-FR"/>
        </w:rPr>
        <w:t>8 de la Convention n</w:t>
      </w:r>
      <w:r w:rsidR="00F20289">
        <w:rPr>
          <w:lang w:val="fr-FR"/>
        </w:rPr>
        <w:t>’</w:t>
      </w:r>
      <w:r w:rsidR="00D7015E" w:rsidRPr="00FC71C0">
        <w:rPr>
          <w:lang w:val="fr-FR"/>
        </w:rPr>
        <w:t>est pas manifestement mal fondé au sens de l</w:t>
      </w:r>
      <w:r w:rsidR="00F20289">
        <w:rPr>
          <w:lang w:val="fr-FR"/>
        </w:rPr>
        <w:t>’</w:t>
      </w:r>
      <w:r w:rsidR="00D7015E" w:rsidRPr="00FC71C0">
        <w:rPr>
          <w:lang w:val="fr-FR"/>
        </w:rPr>
        <w:t>article</w:t>
      </w:r>
      <w:r w:rsidR="008068D5" w:rsidRPr="00FC71C0">
        <w:rPr>
          <w:lang w:val="fr-FR"/>
        </w:rPr>
        <w:t> </w:t>
      </w:r>
      <w:r w:rsidR="00D7015E" w:rsidRPr="00FC71C0">
        <w:rPr>
          <w:lang w:val="fr-FR"/>
        </w:rPr>
        <w:t>35 § 3 de la Convention. Elle relève par ailleurs qu</w:t>
      </w:r>
      <w:r w:rsidR="00F20289">
        <w:rPr>
          <w:lang w:val="fr-FR"/>
        </w:rPr>
        <w:t>’</w:t>
      </w:r>
      <w:r w:rsidR="00D7015E" w:rsidRPr="00FC71C0">
        <w:rPr>
          <w:lang w:val="fr-FR"/>
        </w:rPr>
        <w:t>il ne se heurte à aucun autre motif d</w:t>
      </w:r>
      <w:r w:rsidR="00F20289">
        <w:rPr>
          <w:lang w:val="fr-FR"/>
        </w:rPr>
        <w:t>’</w:t>
      </w:r>
      <w:r w:rsidR="00D7015E" w:rsidRPr="00FC71C0">
        <w:rPr>
          <w:lang w:val="fr-FR"/>
        </w:rPr>
        <w:t>irrecevabilité. Il convient donc de le déclarer recevable.</w:t>
      </w:r>
    </w:p>
    <w:p w:rsidR="00E77CB3" w:rsidRPr="00FC71C0" w:rsidRDefault="00E77CB3" w:rsidP="00FC71C0">
      <w:pPr>
        <w:pStyle w:val="ECHRHeading2"/>
        <w:rPr>
          <w:lang w:val="fr-FR"/>
        </w:rPr>
      </w:pPr>
      <w:r w:rsidRPr="00FC71C0">
        <w:rPr>
          <w:lang w:val="fr-FR"/>
        </w:rPr>
        <w:t>B.  Sur le fond</w:t>
      </w:r>
    </w:p>
    <w:p w:rsidR="007939A3" w:rsidRPr="00FC71C0" w:rsidRDefault="007939A3" w:rsidP="00FC71C0">
      <w:pPr>
        <w:pStyle w:val="ECHRHeading3"/>
        <w:rPr>
          <w:lang w:val="fr-FR" w:eastAsia="en-GB"/>
        </w:rPr>
      </w:pPr>
      <w:r w:rsidRPr="00FC71C0">
        <w:rPr>
          <w:lang w:val="fr-FR" w:eastAsia="en-GB"/>
        </w:rPr>
        <w:t>1.  </w:t>
      </w:r>
      <w:r w:rsidR="00632EB5" w:rsidRPr="00FC71C0">
        <w:rPr>
          <w:lang w:val="fr-FR" w:eastAsia="en-GB"/>
        </w:rPr>
        <w:t>T</w:t>
      </w:r>
      <w:r w:rsidRPr="00FC71C0">
        <w:rPr>
          <w:lang w:val="fr-FR" w:eastAsia="en-GB"/>
        </w:rPr>
        <w:t>hèses des parties</w:t>
      </w:r>
    </w:p>
    <w:p w:rsidR="007939A3" w:rsidRPr="00FC71C0" w:rsidRDefault="007939A3" w:rsidP="00FC71C0">
      <w:pPr>
        <w:pStyle w:val="ECHRHeading4"/>
        <w:rPr>
          <w:lang w:val="fr-FR"/>
        </w:rPr>
      </w:pPr>
      <w:r w:rsidRPr="00FC71C0">
        <w:rPr>
          <w:lang w:val="fr-FR"/>
        </w:rPr>
        <w:t>a)  Les requérants</w:t>
      </w:r>
    </w:p>
    <w:p w:rsidR="00673284"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36</w:t>
      </w:r>
      <w:r w:rsidRPr="00FC71C0">
        <w:rPr>
          <w:lang w:val="fr-FR"/>
        </w:rPr>
        <w:fldChar w:fldCharType="end"/>
      </w:r>
      <w:r w:rsidR="00E77CB3" w:rsidRPr="00FC71C0">
        <w:rPr>
          <w:lang w:val="fr-FR"/>
        </w:rPr>
        <w:t>.  </w:t>
      </w:r>
      <w:r w:rsidRPr="00FC71C0">
        <w:rPr>
          <w:lang w:val="fr-FR"/>
        </w:rPr>
        <w:t>Les requérants</w:t>
      </w:r>
      <w:r w:rsidR="00673284" w:rsidRPr="00FC71C0">
        <w:rPr>
          <w:lang w:val="fr-FR"/>
        </w:rPr>
        <w:t xml:space="preserve"> se plaignent </w:t>
      </w:r>
      <w:r w:rsidR="00421D73" w:rsidRPr="00FC71C0">
        <w:rPr>
          <w:lang w:val="fr-FR"/>
        </w:rPr>
        <w:t>de ce</w:t>
      </w:r>
      <w:r w:rsidR="00673284" w:rsidRPr="00FC71C0">
        <w:rPr>
          <w:lang w:val="fr-FR"/>
        </w:rPr>
        <w:t xml:space="preserve"> qu</w:t>
      </w:r>
      <w:r w:rsidR="00F20289">
        <w:rPr>
          <w:lang w:val="fr-FR"/>
        </w:rPr>
        <w:t>’</w:t>
      </w:r>
      <w:r w:rsidR="00673284" w:rsidRPr="00FC71C0">
        <w:rPr>
          <w:lang w:val="fr-FR"/>
        </w:rPr>
        <w:t>ils n</w:t>
      </w:r>
      <w:r w:rsidR="00F20289">
        <w:rPr>
          <w:lang w:val="fr-FR"/>
        </w:rPr>
        <w:t>’</w:t>
      </w:r>
      <w:r w:rsidR="00673284" w:rsidRPr="00FC71C0">
        <w:rPr>
          <w:lang w:val="fr-FR"/>
        </w:rPr>
        <w:t xml:space="preserve">ont plus vu leur petite-fille depuis 2002, à savoir depuis le début de la procédure de séparation </w:t>
      </w:r>
      <w:r w:rsidR="005B4CD5" w:rsidRPr="00FC71C0">
        <w:rPr>
          <w:lang w:val="fr-FR"/>
        </w:rPr>
        <w:t>de corps</w:t>
      </w:r>
      <w:r w:rsidR="00673284" w:rsidRPr="00FC71C0">
        <w:rPr>
          <w:lang w:val="fr-FR"/>
        </w:rPr>
        <w:t xml:space="preserve"> des parents de l</w:t>
      </w:r>
      <w:r w:rsidR="00F20289">
        <w:rPr>
          <w:lang w:val="fr-FR"/>
        </w:rPr>
        <w:t>’</w:t>
      </w:r>
      <w:r w:rsidR="00673284" w:rsidRPr="00FC71C0">
        <w:rPr>
          <w:lang w:val="fr-FR"/>
        </w:rPr>
        <w:t>enfant</w:t>
      </w:r>
      <w:r w:rsidR="007C6953" w:rsidRPr="00FC71C0">
        <w:rPr>
          <w:lang w:val="fr-FR"/>
        </w:rPr>
        <w:t xml:space="preserve">, </w:t>
      </w:r>
      <w:r w:rsidR="00673284" w:rsidRPr="00FC71C0">
        <w:rPr>
          <w:lang w:val="fr-FR"/>
        </w:rPr>
        <w:t>à partir du moment</w:t>
      </w:r>
      <w:r w:rsidR="0058623D" w:rsidRPr="00FC71C0">
        <w:rPr>
          <w:lang w:val="fr-FR"/>
        </w:rPr>
        <w:t xml:space="preserve"> où la mère de M.C. introdui</w:t>
      </w:r>
      <w:r w:rsidR="007C6953" w:rsidRPr="00FC71C0">
        <w:rPr>
          <w:lang w:val="fr-FR"/>
        </w:rPr>
        <w:t>si</w:t>
      </w:r>
      <w:r w:rsidR="0058623D" w:rsidRPr="00FC71C0">
        <w:rPr>
          <w:lang w:val="fr-FR"/>
        </w:rPr>
        <w:t>t une</w:t>
      </w:r>
      <w:r w:rsidR="00673284" w:rsidRPr="00FC71C0">
        <w:rPr>
          <w:lang w:val="fr-FR"/>
        </w:rPr>
        <w:t xml:space="preserve"> demande de déchéance de l</w:t>
      </w:r>
      <w:r w:rsidR="00F20289">
        <w:rPr>
          <w:lang w:val="fr-FR"/>
        </w:rPr>
        <w:t>’</w:t>
      </w:r>
      <w:r w:rsidR="00673284" w:rsidRPr="00FC71C0">
        <w:rPr>
          <w:lang w:val="fr-FR"/>
        </w:rPr>
        <w:t xml:space="preserve">autorité parentale </w:t>
      </w:r>
      <w:r w:rsidR="00245787" w:rsidRPr="00FC71C0">
        <w:rPr>
          <w:lang w:val="fr-FR"/>
        </w:rPr>
        <w:t xml:space="preserve">du </w:t>
      </w:r>
      <w:r w:rsidR="00673284" w:rsidRPr="00FC71C0">
        <w:rPr>
          <w:lang w:val="fr-FR"/>
        </w:rPr>
        <w:t>père de sa fille devant le tribunal pour enfants de Turin.</w:t>
      </w:r>
    </w:p>
    <w:p w:rsidR="000E4FB2"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37</w:t>
      </w:r>
      <w:r w:rsidRPr="00FC71C0">
        <w:rPr>
          <w:lang w:val="fr-FR"/>
        </w:rPr>
        <w:fldChar w:fldCharType="end"/>
      </w:r>
      <w:r w:rsidR="00673284" w:rsidRPr="00FC71C0">
        <w:rPr>
          <w:lang w:val="fr-FR"/>
        </w:rPr>
        <w:t>.  Ils rappellent</w:t>
      </w:r>
      <w:r w:rsidR="000E4FB2" w:rsidRPr="00FC71C0">
        <w:rPr>
          <w:lang w:val="fr-FR"/>
        </w:rPr>
        <w:t>, tout d</w:t>
      </w:r>
      <w:r w:rsidR="00F20289">
        <w:rPr>
          <w:lang w:val="fr-FR"/>
        </w:rPr>
        <w:t>’</w:t>
      </w:r>
      <w:r w:rsidR="000E4FB2" w:rsidRPr="00FC71C0">
        <w:rPr>
          <w:lang w:val="fr-FR"/>
        </w:rPr>
        <w:t>abord,</w:t>
      </w:r>
      <w:r w:rsidR="00673284" w:rsidRPr="00FC71C0">
        <w:rPr>
          <w:lang w:val="fr-FR"/>
        </w:rPr>
        <w:t xml:space="preserve"> qu</w:t>
      </w:r>
      <w:r w:rsidR="00F20289">
        <w:rPr>
          <w:lang w:val="fr-FR"/>
        </w:rPr>
        <w:t>’</w:t>
      </w:r>
      <w:r w:rsidR="00673284" w:rsidRPr="00FC71C0">
        <w:rPr>
          <w:lang w:val="fr-FR"/>
        </w:rPr>
        <w:t>il</w:t>
      </w:r>
      <w:r w:rsidR="002728E3" w:rsidRPr="00FC71C0">
        <w:rPr>
          <w:lang w:val="fr-FR"/>
        </w:rPr>
        <w:t>s</w:t>
      </w:r>
      <w:r w:rsidR="00673284" w:rsidRPr="00FC71C0">
        <w:rPr>
          <w:lang w:val="fr-FR"/>
        </w:rPr>
        <w:t xml:space="preserve"> </w:t>
      </w:r>
      <w:r w:rsidR="00AB39C1" w:rsidRPr="00FC71C0">
        <w:rPr>
          <w:lang w:val="fr-FR"/>
        </w:rPr>
        <w:t>ont saisi</w:t>
      </w:r>
      <w:r w:rsidR="00673284" w:rsidRPr="00FC71C0">
        <w:rPr>
          <w:lang w:val="fr-FR"/>
        </w:rPr>
        <w:t xml:space="preserve"> à plusieurs reprises le </w:t>
      </w:r>
      <w:r w:rsidR="002728E3" w:rsidRPr="00FC71C0">
        <w:rPr>
          <w:lang w:val="fr-FR"/>
        </w:rPr>
        <w:t>tribunal pour enfants afin de solliciter la mise en place d</w:t>
      </w:r>
      <w:r w:rsidR="00F20289">
        <w:rPr>
          <w:lang w:val="fr-FR"/>
        </w:rPr>
        <w:t>’</w:t>
      </w:r>
      <w:r w:rsidR="002728E3" w:rsidRPr="00FC71C0">
        <w:rPr>
          <w:lang w:val="fr-FR"/>
        </w:rPr>
        <w:t xml:space="preserve">un programme de rapprochement de la part des services sociaux, toutefois seulement </w:t>
      </w:r>
      <w:r w:rsidR="00717CCB" w:rsidRPr="00FC71C0">
        <w:rPr>
          <w:lang w:val="fr-FR"/>
        </w:rPr>
        <w:t xml:space="preserve">le </w:t>
      </w:r>
      <w:r w:rsidR="002728E3" w:rsidRPr="00FC71C0">
        <w:rPr>
          <w:lang w:val="fr-FR"/>
        </w:rPr>
        <w:t>21</w:t>
      </w:r>
      <w:r w:rsidR="00053C1C" w:rsidRPr="00FC71C0">
        <w:rPr>
          <w:lang w:val="fr-FR"/>
        </w:rPr>
        <w:t> </w:t>
      </w:r>
      <w:r w:rsidR="002728E3" w:rsidRPr="00FC71C0">
        <w:rPr>
          <w:lang w:val="fr-FR"/>
        </w:rPr>
        <w:t>décembr</w:t>
      </w:r>
      <w:r w:rsidR="0058623D" w:rsidRPr="00FC71C0">
        <w:rPr>
          <w:lang w:val="fr-FR"/>
        </w:rPr>
        <w:t>e 2005</w:t>
      </w:r>
      <w:r w:rsidR="00245787" w:rsidRPr="00FC71C0">
        <w:rPr>
          <w:lang w:val="fr-FR"/>
        </w:rPr>
        <w:t xml:space="preserve"> </w:t>
      </w:r>
      <w:r w:rsidR="002728E3" w:rsidRPr="00FC71C0">
        <w:rPr>
          <w:lang w:val="fr-FR"/>
        </w:rPr>
        <w:t xml:space="preserve">le tribunal </w:t>
      </w:r>
      <w:r w:rsidR="00245787" w:rsidRPr="00FC71C0">
        <w:rPr>
          <w:lang w:val="fr-FR"/>
        </w:rPr>
        <w:t xml:space="preserve">autorisa </w:t>
      </w:r>
      <w:r w:rsidR="002728E3" w:rsidRPr="00FC71C0">
        <w:rPr>
          <w:lang w:val="fr-FR"/>
        </w:rPr>
        <w:t>les rencontres.</w:t>
      </w:r>
    </w:p>
    <w:p w:rsidR="00E77CB3" w:rsidRPr="00FC71C0" w:rsidRDefault="000E4FB2" w:rsidP="00FC71C0">
      <w:pPr>
        <w:pStyle w:val="ECHRPara"/>
        <w:rPr>
          <w:lang w:val="fr-FR"/>
        </w:rPr>
      </w:pPr>
      <w:r w:rsidRPr="00FC71C0">
        <w:rPr>
          <w:lang w:val="fr-FR"/>
        </w:rPr>
        <w:t xml:space="preserve">Ils soulignent ensuite que </w:t>
      </w:r>
      <w:r w:rsidR="002728E3" w:rsidRPr="00FC71C0">
        <w:rPr>
          <w:lang w:val="fr-FR"/>
        </w:rPr>
        <w:t xml:space="preserve">le tribunal </w:t>
      </w:r>
      <w:r w:rsidR="00D20865" w:rsidRPr="00FC71C0">
        <w:rPr>
          <w:lang w:val="fr-FR"/>
        </w:rPr>
        <w:t>avait</w:t>
      </w:r>
      <w:r w:rsidR="00245787" w:rsidRPr="00FC71C0">
        <w:rPr>
          <w:lang w:val="fr-FR"/>
        </w:rPr>
        <w:t xml:space="preserve"> </w:t>
      </w:r>
      <w:r w:rsidR="00D20865" w:rsidRPr="00FC71C0">
        <w:rPr>
          <w:lang w:val="fr-FR"/>
        </w:rPr>
        <w:t xml:space="preserve">ordonné </w:t>
      </w:r>
      <w:r w:rsidR="002728E3" w:rsidRPr="00FC71C0">
        <w:rPr>
          <w:lang w:val="fr-FR"/>
        </w:rPr>
        <w:t>aux services sociaux</w:t>
      </w:r>
      <w:r w:rsidR="007058FA" w:rsidRPr="00FC71C0">
        <w:rPr>
          <w:lang w:val="fr-FR"/>
        </w:rPr>
        <w:t xml:space="preserve"> d</w:t>
      </w:r>
      <w:r w:rsidR="00F20289">
        <w:rPr>
          <w:lang w:val="fr-FR"/>
        </w:rPr>
        <w:t>’</w:t>
      </w:r>
      <w:r w:rsidR="007058FA" w:rsidRPr="00FC71C0">
        <w:rPr>
          <w:lang w:val="fr-FR"/>
        </w:rPr>
        <w:t xml:space="preserve">organiser </w:t>
      </w:r>
      <w:r w:rsidRPr="00FC71C0">
        <w:rPr>
          <w:lang w:val="fr-FR"/>
        </w:rPr>
        <w:t xml:space="preserve">des </w:t>
      </w:r>
      <w:r w:rsidR="007058FA" w:rsidRPr="00FC71C0">
        <w:rPr>
          <w:lang w:val="fr-FR"/>
        </w:rPr>
        <w:t xml:space="preserve">rencontres et </w:t>
      </w:r>
      <w:r w:rsidR="002728E3" w:rsidRPr="00FC71C0">
        <w:rPr>
          <w:lang w:val="fr-FR"/>
        </w:rPr>
        <w:t>de déposer un rapport concernant le déroulement</w:t>
      </w:r>
      <w:r w:rsidR="002E6FEB" w:rsidRPr="00FC71C0">
        <w:rPr>
          <w:lang w:val="fr-FR"/>
        </w:rPr>
        <w:t xml:space="preserve"> de celles</w:t>
      </w:r>
      <w:r w:rsidR="00AB39C1" w:rsidRPr="00FC71C0">
        <w:rPr>
          <w:lang w:val="fr-FR"/>
        </w:rPr>
        <w:t>-ci</w:t>
      </w:r>
      <w:r w:rsidRPr="00FC71C0">
        <w:rPr>
          <w:lang w:val="fr-FR"/>
        </w:rPr>
        <w:t xml:space="preserve"> ; </w:t>
      </w:r>
      <w:r w:rsidR="00245787" w:rsidRPr="00FC71C0">
        <w:rPr>
          <w:lang w:val="fr-FR"/>
        </w:rPr>
        <w:t>toutefois</w:t>
      </w:r>
      <w:r w:rsidR="007C6953" w:rsidRPr="00FC71C0">
        <w:rPr>
          <w:lang w:val="fr-FR"/>
        </w:rPr>
        <w:t>,</w:t>
      </w:r>
      <w:r w:rsidR="00717CCB" w:rsidRPr="00FC71C0">
        <w:rPr>
          <w:lang w:val="fr-FR"/>
        </w:rPr>
        <w:t xml:space="preserve"> </w:t>
      </w:r>
      <w:r w:rsidR="002728E3" w:rsidRPr="00FC71C0">
        <w:rPr>
          <w:lang w:val="fr-FR"/>
        </w:rPr>
        <w:t xml:space="preserve">les rencontres </w:t>
      </w:r>
      <w:r w:rsidR="005B4CD5" w:rsidRPr="00FC71C0">
        <w:rPr>
          <w:lang w:val="fr-FR"/>
        </w:rPr>
        <w:t xml:space="preserve">ainsi prévues </w:t>
      </w:r>
      <w:r w:rsidR="002728E3" w:rsidRPr="00FC71C0">
        <w:rPr>
          <w:lang w:val="fr-FR"/>
        </w:rPr>
        <w:t>n</w:t>
      </w:r>
      <w:r w:rsidR="00F20289">
        <w:rPr>
          <w:lang w:val="fr-FR"/>
        </w:rPr>
        <w:t>’</w:t>
      </w:r>
      <w:r w:rsidR="0058623D" w:rsidRPr="00FC71C0">
        <w:rPr>
          <w:lang w:val="fr-FR"/>
        </w:rPr>
        <w:t>ont jamais eu lieu.</w:t>
      </w:r>
    </w:p>
    <w:p w:rsidR="00FC71C0"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38</w:t>
      </w:r>
      <w:r w:rsidRPr="00FC71C0">
        <w:rPr>
          <w:lang w:val="fr-FR"/>
        </w:rPr>
        <w:fldChar w:fldCharType="end"/>
      </w:r>
      <w:r w:rsidR="002728E3" w:rsidRPr="00FC71C0">
        <w:rPr>
          <w:lang w:val="fr-FR"/>
        </w:rPr>
        <w:t xml:space="preserve">.  Les requérants </w:t>
      </w:r>
      <w:r w:rsidR="00981632" w:rsidRPr="00FC71C0">
        <w:rPr>
          <w:lang w:val="fr-FR"/>
        </w:rPr>
        <w:t>font valoir que les services sociaux ont méconnu la décision du tribunal</w:t>
      </w:r>
      <w:r w:rsidR="000E4FB2" w:rsidRPr="00FC71C0">
        <w:rPr>
          <w:lang w:val="fr-FR"/>
        </w:rPr>
        <w:t>,</w:t>
      </w:r>
      <w:r w:rsidR="00FC71C0" w:rsidRPr="00FC71C0">
        <w:rPr>
          <w:lang w:val="fr-FR"/>
        </w:rPr>
        <w:t xml:space="preserve"> </w:t>
      </w:r>
      <w:r w:rsidR="00981632" w:rsidRPr="00FC71C0">
        <w:rPr>
          <w:lang w:val="fr-FR"/>
        </w:rPr>
        <w:t xml:space="preserve">et ont déposé leur rapport sans </w:t>
      </w:r>
      <w:r w:rsidR="000F384C" w:rsidRPr="00FC71C0">
        <w:rPr>
          <w:lang w:val="fr-FR"/>
        </w:rPr>
        <w:t>que les</w:t>
      </w:r>
      <w:r w:rsidR="00981632" w:rsidRPr="00FC71C0">
        <w:rPr>
          <w:lang w:val="fr-FR"/>
        </w:rPr>
        <w:t xml:space="preserve"> rencontres </w:t>
      </w:r>
      <w:r w:rsidR="000F384C" w:rsidRPr="00FC71C0">
        <w:rPr>
          <w:lang w:val="fr-FR"/>
        </w:rPr>
        <w:t>aient eu</w:t>
      </w:r>
      <w:r w:rsidR="00981632" w:rsidRPr="00FC71C0">
        <w:rPr>
          <w:lang w:val="fr-FR"/>
        </w:rPr>
        <w:t xml:space="preserve"> lieu. </w:t>
      </w:r>
      <w:r w:rsidR="0058623D" w:rsidRPr="00FC71C0">
        <w:rPr>
          <w:lang w:val="fr-FR"/>
        </w:rPr>
        <w:t xml:space="preserve">Ils </w:t>
      </w:r>
      <w:r w:rsidR="007C6953" w:rsidRPr="00FC71C0">
        <w:rPr>
          <w:lang w:val="fr-FR"/>
        </w:rPr>
        <w:t xml:space="preserve">exposent </w:t>
      </w:r>
      <w:r w:rsidR="0058623D" w:rsidRPr="00FC71C0">
        <w:rPr>
          <w:lang w:val="fr-FR"/>
        </w:rPr>
        <w:t xml:space="preserve">de plus que le tribunal, </w:t>
      </w:r>
      <w:r w:rsidR="007C6953" w:rsidRPr="00FC71C0">
        <w:rPr>
          <w:lang w:val="fr-FR"/>
        </w:rPr>
        <w:t>revenant sur</w:t>
      </w:r>
      <w:r w:rsidR="002E6FEB" w:rsidRPr="00FC71C0">
        <w:rPr>
          <w:lang w:val="fr-FR"/>
        </w:rPr>
        <w:t xml:space="preserve"> </w:t>
      </w:r>
      <w:r w:rsidR="0058623D" w:rsidRPr="00FC71C0">
        <w:rPr>
          <w:lang w:val="fr-FR"/>
        </w:rPr>
        <w:t>sa décision précédente,</w:t>
      </w:r>
      <w:r w:rsidR="007C6953" w:rsidRPr="00FC71C0">
        <w:rPr>
          <w:lang w:val="fr-FR"/>
        </w:rPr>
        <w:t xml:space="preserve"> a</w:t>
      </w:r>
      <w:r w:rsidR="0058623D" w:rsidRPr="00FC71C0">
        <w:rPr>
          <w:lang w:val="fr-FR"/>
        </w:rPr>
        <w:t xml:space="preserve"> </w:t>
      </w:r>
      <w:r w:rsidR="007C6953" w:rsidRPr="00FC71C0">
        <w:rPr>
          <w:lang w:val="fr-FR"/>
        </w:rPr>
        <w:t xml:space="preserve">par la suite </w:t>
      </w:r>
      <w:r w:rsidR="0058623D" w:rsidRPr="00FC71C0">
        <w:rPr>
          <w:lang w:val="fr-FR"/>
        </w:rPr>
        <w:t>ordonn</w:t>
      </w:r>
      <w:r w:rsidR="007C6953" w:rsidRPr="00FC71C0">
        <w:rPr>
          <w:lang w:val="fr-FR"/>
        </w:rPr>
        <w:t>é</w:t>
      </w:r>
      <w:r w:rsidR="0058623D" w:rsidRPr="00FC71C0">
        <w:rPr>
          <w:lang w:val="fr-FR"/>
        </w:rPr>
        <w:t xml:space="preserve"> la suspension des rencontres </w:t>
      </w:r>
      <w:r w:rsidR="007C6953" w:rsidRPr="00FC71C0">
        <w:rPr>
          <w:lang w:val="fr-FR"/>
        </w:rPr>
        <w:t>en fondant</w:t>
      </w:r>
      <w:r w:rsidR="0058623D" w:rsidRPr="00FC71C0">
        <w:rPr>
          <w:lang w:val="fr-FR"/>
        </w:rPr>
        <w:t xml:space="preserve"> sa décision sur la conviction erronée que les rencontres avaient </w:t>
      </w:r>
      <w:r w:rsidR="000E4FB2" w:rsidRPr="00FC71C0">
        <w:rPr>
          <w:lang w:val="fr-FR"/>
        </w:rPr>
        <w:t>eu lieu</w:t>
      </w:r>
      <w:r w:rsidR="0058623D" w:rsidRPr="00FC71C0">
        <w:rPr>
          <w:lang w:val="fr-FR"/>
        </w:rPr>
        <w:t>.</w:t>
      </w:r>
    </w:p>
    <w:p w:rsidR="00FC71C0" w:rsidRPr="00FC71C0" w:rsidRDefault="006A6346"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39</w:t>
      </w:r>
      <w:r w:rsidRPr="00FC71C0">
        <w:rPr>
          <w:lang w:val="fr-FR"/>
        </w:rPr>
        <w:fldChar w:fldCharType="end"/>
      </w:r>
      <w:r w:rsidR="007058FA" w:rsidRPr="00FC71C0">
        <w:rPr>
          <w:lang w:val="fr-FR"/>
        </w:rPr>
        <w:t>.  </w:t>
      </w:r>
      <w:r w:rsidRPr="00FC71C0">
        <w:rPr>
          <w:lang w:val="fr-FR"/>
        </w:rPr>
        <w:t>Ils allèguent que les juridictions internes ont fondé leur décision de suspendre les rencontres sur les rapports des psychologues selon lesquels l</w:t>
      </w:r>
      <w:r w:rsidR="00F20289">
        <w:rPr>
          <w:lang w:val="fr-FR"/>
        </w:rPr>
        <w:t>’</w:t>
      </w:r>
      <w:r w:rsidRPr="00FC71C0">
        <w:rPr>
          <w:lang w:val="fr-FR"/>
        </w:rPr>
        <w:t xml:space="preserve">enfant associait les grands-parents à son père et aux souffrances subies en raison des prétendus attouchements sexuels. </w:t>
      </w:r>
      <w:r w:rsidR="00A12253" w:rsidRPr="00FC71C0">
        <w:rPr>
          <w:lang w:val="fr-FR"/>
        </w:rPr>
        <w:t xml:space="preserve">Les requérants </w:t>
      </w:r>
      <w:r w:rsidRPr="00FC71C0">
        <w:rPr>
          <w:lang w:val="fr-FR"/>
        </w:rPr>
        <w:t>soulignent à ce propos que les décisions internes n</w:t>
      </w:r>
      <w:r w:rsidR="00F20289">
        <w:rPr>
          <w:lang w:val="fr-FR"/>
        </w:rPr>
        <w:t>’</w:t>
      </w:r>
      <w:r w:rsidRPr="00FC71C0">
        <w:rPr>
          <w:lang w:val="fr-FR"/>
        </w:rPr>
        <w:t xml:space="preserve">ont pas </w:t>
      </w:r>
      <w:r w:rsidR="003A4CBD" w:rsidRPr="00FC71C0">
        <w:rPr>
          <w:lang w:val="fr-FR"/>
        </w:rPr>
        <w:t>pris en compte le fait que le père de l</w:t>
      </w:r>
      <w:r w:rsidR="00F20289">
        <w:rPr>
          <w:lang w:val="fr-FR"/>
        </w:rPr>
        <w:t>’</w:t>
      </w:r>
      <w:r w:rsidR="003A4CBD" w:rsidRPr="00FC71C0">
        <w:rPr>
          <w:lang w:val="fr-FR"/>
        </w:rPr>
        <w:t>enfant avait été acquitté en 2006</w:t>
      </w:r>
      <w:r w:rsidR="007C6953" w:rsidRPr="00FC71C0">
        <w:rPr>
          <w:lang w:val="fr-FR"/>
        </w:rPr>
        <w:t xml:space="preserve">. Ils estiment que les juridictions ont fait peser sur eux </w:t>
      </w:r>
      <w:r w:rsidR="003A4CBD" w:rsidRPr="00FC71C0">
        <w:rPr>
          <w:lang w:val="fr-FR"/>
        </w:rPr>
        <w:t xml:space="preserve">la responsabilité pénale </w:t>
      </w:r>
      <w:r w:rsidR="007B0D78" w:rsidRPr="00FC71C0">
        <w:rPr>
          <w:lang w:val="fr-FR"/>
        </w:rPr>
        <w:t>supposée</w:t>
      </w:r>
      <w:r w:rsidR="007C6953" w:rsidRPr="00FC71C0">
        <w:rPr>
          <w:lang w:val="fr-FR"/>
        </w:rPr>
        <w:t xml:space="preserve"> </w:t>
      </w:r>
      <w:r w:rsidR="003A4CBD" w:rsidRPr="00FC71C0">
        <w:rPr>
          <w:lang w:val="fr-FR"/>
        </w:rPr>
        <w:t>de leur fils.</w:t>
      </w:r>
    </w:p>
    <w:p w:rsidR="00FC71C0"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40</w:t>
      </w:r>
      <w:r w:rsidRPr="00FC71C0">
        <w:rPr>
          <w:lang w:val="fr-FR"/>
        </w:rPr>
        <w:fldChar w:fldCharType="end"/>
      </w:r>
      <w:r w:rsidR="00E77CB3" w:rsidRPr="00FC71C0">
        <w:rPr>
          <w:lang w:val="fr-FR"/>
        </w:rPr>
        <w:t>.  </w:t>
      </w:r>
      <w:r w:rsidR="001936E7" w:rsidRPr="00FC71C0">
        <w:rPr>
          <w:lang w:val="fr-FR"/>
        </w:rPr>
        <w:t>Les requérants rappellent qu</w:t>
      </w:r>
      <w:r w:rsidR="00F20289">
        <w:rPr>
          <w:lang w:val="fr-FR"/>
        </w:rPr>
        <w:t>’</w:t>
      </w:r>
      <w:r w:rsidR="001936E7" w:rsidRPr="00FC71C0">
        <w:rPr>
          <w:lang w:val="fr-FR"/>
        </w:rPr>
        <w:t>ils ont suivi</w:t>
      </w:r>
      <w:r w:rsidR="007637AE" w:rsidRPr="00FC71C0">
        <w:rPr>
          <w:lang w:val="fr-FR"/>
        </w:rPr>
        <w:t>, avec les services sociaux et les psychologues,</w:t>
      </w:r>
      <w:r w:rsidR="007E3497" w:rsidRPr="00FC71C0">
        <w:rPr>
          <w:lang w:val="fr-FR"/>
        </w:rPr>
        <w:t xml:space="preserve"> </w:t>
      </w:r>
      <w:r w:rsidR="001936E7" w:rsidRPr="00FC71C0">
        <w:rPr>
          <w:lang w:val="fr-FR"/>
        </w:rPr>
        <w:t>un long parcours de rapprochement avec l</w:t>
      </w:r>
      <w:r w:rsidR="00F20289">
        <w:rPr>
          <w:lang w:val="fr-FR"/>
        </w:rPr>
        <w:t>’</w:t>
      </w:r>
      <w:r w:rsidR="001936E7" w:rsidRPr="00FC71C0">
        <w:rPr>
          <w:lang w:val="fr-FR"/>
        </w:rPr>
        <w:t>enfant et qu</w:t>
      </w:r>
      <w:r w:rsidR="00F20289">
        <w:rPr>
          <w:lang w:val="fr-FR"/>
        </w:rPr>
        <w:t>’</w:t>
      </w:r>
      <w:r w:rsidR="001936E7" w:rsidRPr="00FC71C0">
        <w:rPr>
          <w:lang w:val="fr-FR"/>
        </w:rPr>
        <w:t>ils ont toujours accepté les prescriptions d</w:t>
      </w:r>
      <w:r w:rsidR="00DC391D" w:rsidRPr="00FC71C0">
        <w:rPr>
          <w:lang w:val="fr-FR"/>
        </w:rPr>
        <w:t xml:space="preserve">es services sociaux ainsi que </w:t>
      </w:r>
      <w:r w:rsidR="007C6953" w:rsidRPr="00FC71C0">
        <w:rPr>
          <w:lang w:val="fr-FR"/>
        </w:rPr>
        <w:t xml:space="preserve">la </w:t>
      </w:r>
      <w:r w:rsidR="00DC391D" w:rsidRPr="00FC71C0">
        <w:rPr>
          <w:lang w:val="fr-FR"/>
        </w:rPr>
        <w:t>proposition</w:t>
      </w:r>
      <w:r w:rsidR="007C6953" w:rsidRPr="00FC71C0">
        <w:rPr>
          <w:lang w:val="fr-FR"/>
        </w:rPr>
        <w:t xml:space="preserve"> de ces derniers</w:t>
      </w:r>
      <w:r w:rsidR="00DC391D" w:rsidRPr="00FC71C0">
        <w:rPr>
          <w:lang w:val="fr-FR"/>
        </w:rPr>
        <w:t xml:space="preserve"> d</w:t>
      </w:r>
      <w:r w:rsidR="00F20289">
        <w:rPr>
          <w:lang w:val="fr-FR"/>
        </w:rPr>
        <w:t>’</w:t>
      </w:r>
      <w:r w:rsidR="001936E7" w:rsidRPr="00FC71C0">
        <w:rPr>
          <w:lang w:val="fr-FR"/>
        </w:rPr>
        <w:t>effectuer les rencontres dans un lieu neutre</w:t>
      </w:r>
      <w:r w:rsidR="00AB42A2" w:rsidRPr="00FC71C0">
        <w:rPr>
          <w:lang w:val="fr-FR"/>
        </w:rPr>
        <w:t>,</w:t>
      </w:r>
      <w:r w:rsidR="001936E7" w:rsidRPr="00FC71C0">
        <w:rPr>
          <w:lang w:val="fr-FR"/>
        </w:rPr>
        <w:t xml:space="preserve"> </w:t>
      </w:r>
      <w:r w:rsidR="007C6953" w:rsidRPr="00FC71C0">
        <w:rPr>
          <w:lang w:val="fr-FR"/>
        </w:rPr>
        <w:t>en</w:t>
      </w:r>
      <w:r w:rsidR="001936E7" w:rsidRPr="00FC71C0">
        <w:rPr>
          <w:lang w:val="fr-FR"/>
        </w:rPr>
        <w:t xml:space="preserve"> présence </w:t>
      </w:r>
      <w:r w:rsidR="007C6953" w:rsidRPr="00FC71C0">
        <w:rPr>
          <w:lang w:val="fr-FR"/>
        </w:rPr>
        <w:t>d</w:t>
      </w:r>
      <w:r w:rsidR="00F20289">
        <w:rPr>
          <w:lang w:val="fr-FR"/>
        </w:rPr>
        <w:t>’</w:t>
      </w:r>
      <w:r w:rsidR="007C6953" w:rsidRPr="00FC71C0">
        <w:rPr>
          <w:lang w:val="fr-FR"/>
        </w:rPr>
        <w:t xml:space="preserve">un agent </w:t>
      </w:r>
      <w:r w:rsidR="001936E7" w:rsidRPr="00FC71C0">
        <w:rPr>
          <w:lang w:val="fr-FR"/>
        </w:rPr>
        <w:t>des</w:t>
      </w:r>
      <w:r w:rsidR="007C6953" w:rsidRPr="00FC71C0">
        <w:rPr>
          <w:lang w:val="fr-FR"/>
        </w:rPr>
        <w:t>dits</w:t>
      </w:r>
      <w:r w:rsidR="001936E7" w:rsidRPr="00FC71C0">
        <w:rPr>
          <w:lang w:val="fr-FR"/>
        </w:rPr>
        <w:t xml:space="preserve"> services.</w:t>
      </w:r>
    </w:p>
    <w:p w:rsidR="00FC71C0" w:rsidRPr="00FC71C0" w:rsidRDefault="007637AE"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41</w:t>
      </w:r>
      <w:r w:rsidRPr="00FC71C0">
        <w:rPr>
          <w:lang w:val="fr-FR"/>
        </w:rPr>
        <w:fldChar w:fldCharType="end"/>
      </w:r>
      <w:r w:rsidRPr="00FC71C0">
        <w:rPr>
          <w:lang w:val="fr-FR"/>
        </w:rPr>
        <w:t>.  </w:t>
      </w:r>
      <w:r w:rsidR="001936E7" w:rsidRPr="00FC71C0">
        <w:rPr>
          <w:lang w:val="fr-FR"/>
        </w:rPr>
        <w:t xml:space="preserve">Ils allèguent </w:t>
      </w:r>
      <w:r w:rsidR="00B0647A" w:rsidRPr="00FC71C0">
        <w:rPr>
          <w:lang w:val="fr-FR"/>
        </w:rPr>
        <w:t>que les juridictions internes, en les empêchant de rencontrer leur petite-fille, n</w:t>
      </w:r>
      <w:r w:rsidR="00F20289">
        <w:rPr>
          <w:lang w:val="fr-FR"/>
        </w:rPr>
        <w:t>’</w:t>
      </w:r>
      <w:r w:rsidR="00B0647A" w:rsidRPr="00FC71C0">
        <w:rPr>
          <w:lang w:val="fr-FR"/>
        </w:rPr>
        <w:t>ont</w:t>
      </w:r>
      <w:r w:rsidR="001936E7" w:rsidRPr="00FC71C0">
        <w:rPr>
          <w:lang w:val="fr-FR"/>
        </w:rPr>
        <w:t xml:space="preserve"> pas pris en compte l</w:t>
      </w:r>
      <w:r w:rsidR="00F20289">
        <w:rPr>
          <w:lang w:val="fr-FR"/>
        </w:rPr>
        <w:t>’</w:t>
      </w:r>
      <w:r w:rsidR="001936E7" w:rsidRPr="00FC71C0">
        <w:rPr>
          <w:lang w:val="fr-FR"/>
        </w:rPr>
        <w:t>intérêt supérieur de l</w:t>
      </w:r>
      <w:r w:rsidR="00F20289">
        <w:rPr>
          <w:lang w:val="fr-FR"/>
        </w:rPr>
        <w:t>’</w:t>
      </w:r>
      <w:r w:rsidR="001936E7" w:rsidRPr="00FC71C0">
        <w:rPr>
          <w:lang w:val="fr-FR"/>
        </w:rPr>
        <w:t xml:space="preserve">enfant et </w:t>
      </w:r>
      <w:r w:rsidR="00B0647A" w:rsidRPr="00FC71C0">
        <w:rPr>
          <w:lang w:val="fr-FR"/>
        </w:rPr>
        <w:t xml:space="preserve">ont </w:t>
      </w:r>
      <w:r w:rsidR="007C6953" w:rsidRPr="00FC71C0">
        <w:rPr>
          <w:lang w:val="fr-FR"/>
        </w:rPr>
        <w:t xml:space="preserve">porté </w:t>
      </w:r>
      <w:r w:rsidR="00B0647A" w:rsidRPr="00FC71C0">
        <w:rPr>
          <w:lang w:val="fr-FR"/>
        </w:rPr>
        <w:t xml:space="preserve">une </w:t>
      </w:r>
      <w:r w:rsidR="007C6953" w:rsidRPr="00FC71C0">
        <w:rPr>
          <w:lang w:val="fr-FR"/>
        </w:rPr>
        <w:t xml:space="preserve">atteinte </w:t>
      </w:r>
      <w:r w:rsidR="00B0647A" w:rsidRPr="00FC71C0">
        <w:rPr>
          <w:lang w:val="fr-FR"/>
        </w:rPr>
        <w:t xml:space="preserve">disproportionnée </w:t>
      </w:r>
      <w:r w:rsidR="007C6953" w:rsidRPr="00FC71C0">
        <w:rPr>
          <w:lang w:val="fr-FR"/>
        </w:rPr>
        <w:t xml:space="preserve">à </w:t>
      </w:r>
      <w:r w:rsidR="001936E7" w:rsidRPr="00FC71C0">
        <w:rPr>
          <w:lang w:val="fr-FR"/>
        </w:rPr>
        <w:t xml:space="preserve">leur droit à la vie familiale. </w:t>
      </w:r>
      <w:r w:rsidR="00DC391D" w:rsidRPr="00FC71C0">
        <w:rPr>
          <w:lang w:val="fr-FR"/>
        </w:rPr>
        <w:t>À ce propos, ils rappellent que M.C</w:t>
      </w:r>
      <w:r w:rsidR="003A33D3" w:rsidRPr="00FC71C0">
        <w:rPr>
          <w:lang w:val="fr-FR"/>
        </w:rPr>
        <w:t>. avait 5 ans quand la procédure co</w:t>
      </w:r>
      <w:r w:rsidR="00B0647A" w:rsidRPr="00FC71C0">
        <w:rPr>
          <w:lang w:val="fr-FR"/>
        </w:rPr>
        <w:t>ncernant le droit de visite a commencé</w:t>
      </w:r>
      <w:r w:rsidR="003A33D3" w:rsidRPr="00FC71C0">
        <w:rPr>
          <w:lang w:val="fr-FR"/>
        </w:rPr>
        <w:t xml:space="preserve"> et </w:t>
      </w:r>
      <w:r w:rsidR="00111511" w:rsidRPr="00FC71C0">
        <w:rPr>
          <w:lang w:val="fr-FR"/>
        </w:rPr>
        <w:t>qu</w:t>
      </w:r>
      <w:r w:rsidR="00F20289">
        <w:rPr>
          <w:lang w:val="fr-FR"/>
        </w:rPr>
        <w:t>’</w:t>
      </w:r>
      <w:r w:rsidR="00111511" w:rsidRPr="00FC71C0">
        <w:rPr>
          <w:lang w:val="fr-FR"/>
        </w:rPr>
        <w:t xml:space="preserve">elle a </w:t>
      </w:r>
      <w:r w:rsidR="00B0647A" w:rsidRPr="00FC71C0">
        <w:rPr>
          <w:lang w:val="fr-FR"/>
        </w:rPr>
        <w:t>aujourd</w:t>
      </w:r>
      <w:r w:rsidR="00F20289">
        <w:rPr>
          <w:lang w:val="fr-FR"/>
        </w:rPr>
        <w:t>’</w:t>
      </w:r>
      <w:r w:rsidR="00B0647A" w:rsidRPr="00FC71C0">
        <w:rPr>
          <w:lang w:val="fr-FR"/>
        </w:rPr>
        <w:t xml:space="preserve">hui </w:t>
      </w:r>
      <w:r w:rsidR="003A33D3" w:rsidRPr="00FC71C0">
        <w:rPr>
          <w:lang w:val="fr-FR"/>
        </w:rPr>
        <w:t>17 ans</w:t>
      </w:r>
      <w:r w:rsidR="00111511" w:rsidRPr="00FC71C0">
        <w:rPr>
          <w:lang w:val="fr-FR"/>
        </w:rPr>
        <w:t>,</w:t>
      </w:r>
      <w:r w:rsidR="003A33D3" w:rsidRPr="00FC71C0">
        <w:rPr>
          <w:lang w:val="fr-FR"/>
        </w:rPr>
        <w:t xml:space="preserve"> </w:t>
      </w:r>
      <w:r w:rsidR="00111511" w:rsidRPr="00FC71C0">
        <w:rPr>
          <w:lang w:val="fr-FR"/>
        </w:rPr>
        <w:t>sans jamais avoir</w:t>
      </w:r>
      <w:r w:rsidR="003A33D3" w:rsidRPr="00FC71C0">
        <w:rPr>
          <w:lang w:val="fr-FR"/>
        </w:rPr>
        <w:t xml:space="preserve"> vu ses grands-parents</w:t>
      </w:r>
      <w:r w:rsidR="00111511" w:rsidRPr="00FC71C0">
        <w:rPr>
          <w:lang w:val="fr-FR"/>
        </w:rPr>
        <w:t xml:space="preserve"> entre-temps</w:t>
      </w:r>
      <w:r w:rsidR="007058FA" w:rsidRPr="00FC71C0">
        <w:rPr>
          <w:lang w:val="fr-FR"/>
        </w:rPr>
        <w:t>.</w:t>
      </w:r>
    </w:p>
    <w:p w:rsidR="0007578A" w:rsidRPr="00FC71C0" w:rsidRDefault="0007578A" w:rsidP="00FC71C0">
      <w:pPr>
        <w:pStyle w:val="ECHRHeading4"/>
        <w:rPr>
          <w:lang w:val="fr-FR"/>
        </w:rPr>
      </w:pPr>
      <w:r w:rsidRPr="00FC71C0">
        <w:rPr>
          <w:lang w:val="fr-FR"/>
        </w:rPr>
        <w:t>b)  Le Gouvernement</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42</w:t>
      </w:r>
      <w:r w:rsidRPr="00FC71C0">
        <w:rPr>
          <w:lang w:val="fr-FR"/>
        </w:rPr>
        <w:fldChar w:fldCharType="end"/>
      </w:r>
      <w:r w:rsidR="00231E62" w:rsidRPr="00FC71C0">
        <w:rPr>
          <w:lang w:val="fr-FR"/>
        </w:rPr>
        <w:t>.  Le Gouvernement conte</w:t>
      </w:r>
      <w:r w:rsidR="000F384C" w:rsidRPr="00FC71C0">
        <w:rPr>
          <w:lang w:val="fr-FR"/>
        </w:rPr>
        <w:t>s</w:t>
      </w:r>
      <w:r w:rsidR="00231E62" w:rsidRPr="00FC71C0">
        <w:rPr>
          <w:lang w:val="fr-FR"/>
        </w:rPr>
        <w:t>te tout d</w:t>
      </w:r>
      <w:r w:rsidR="00F20289">
        <w:rPr>
          <w:lang w:val="fr-FR"/>
        </w:rPr>
        <w:t>’</w:t>
      </w:r>
      <w:r w:rsidR="00231E62" w:rsidRPr="00FC71C0">
        <w:rPr>
          <w:lang w:val="fr-FR"/>
        </w:rPr>
        <w:t xml:space="preserve">abord </w:t>
      </w:r>
      <w:r w:rsidR="00111511" w:rsidRPr="00FC71C0">
        <w:rPr>
          <w:lang w:val="fr-FR"/>
        </w:rPr>
        <w:t>l</w:t>
      </w:r>
      <w:r w:rsidR="00F20289">
        <w:rPr>
          <w:lang w:val="fr-FR"/>
        </w:rPr>
        <w:t>’</w:t>
      </w:r>
      <w:r w:rsidR="00111511" w:rsidRPr="00FC71C0">
        <w:rPr>
          <w:lang w:val="fr-FR"/>
        </w:rPr>
        <w:t>exposé</w:t>
      </w:r>
      <w:r w:rsidR="00231E62" w:rsidRPr="00FC71C0">
        <w:rPr>
          <w:lang w:val="fr-FR"/>
        </w:rPr>
        <w:t xml:space="preserve"> des faits </w:t>
      </w:r>
      <w:r w:rsidR="00111511" w:rsidRPr="00FC71C0">
        <w:rPr>
          <w:lang w:val="fr-FR"/>
        </w:rPr>
        <w:t xml:space="preserve">présenté </w:t>
      </w:r>
      <w:r w:rsidR="00231E62" w:rsidRPr="00FC71C0">
        <w:rPr>
          <w:lang w:val="fr-FR"/>
        </w:rPr>
        <w:t xml:space="preserve">par la Cour et affirme que la procédure interne devant le tribunal pour enfants concernant le droit de visite des requérants </w:t>
      </w:r>
      <w:r w:rsidR="008E7E4E" w:rsidRPr="00FC71C0">
        <w:rPr>
          <w:lang w:val="fr-FR"/>
        </w:rPr>
        <w:t>n</w:t>
      </w:r>
      <w:r w:rsidR="00F20289">
        <w:rPr>
          <w:lang w:val="fr-FR"/>
        </w:rPr>
        <w:t>’</w:t>
      </w:r>
      <w:r w:rsidR="00231E62" w:rsidRPr="00FC71C0">
        <w:rPr>
          <w:lang w:val="fr-FR"/>
        </w:rPr>
        <w:t xml:space="preserve">a commencé </w:t>
      </w:r>
      <w:r w:rsidR="008E7E4E" w:rsidRPr="00FC71C0">
        <w:rPr>
          <w:lang w:val="fr-FR"/>
        </w:rPr>
        <w:t>qu</w:t>
      </w:r>
      <w:r w:rsidR="00F20289">
        <w:rPr>
          <w:lang w:val="fr-FR"/>
        </w:rPr>
        <w:t>’</w:t>
      </w:r>
      <w:r w:rsidR="00231E62" w:rsidRPr="00FC71C0">
        <w:rPr>
          <w:lang w:val="fr-FR"/>
        </w:rPr>
        <w:t xml:space="preserve">en 2004, une fois achevée la procédure de séparation </w:t>
      </w:r>
      <w:r w:rsidR="005B4CD5" w:rsidRPr="00FC71C0">
        <w:rPr>
          <w:lang w:val="fr-FR"/>
        </w:rPr>
        <w:t>de corps</w:t>
      </w:r>
      <w:r w:rsidR="00231E62" w:rsidRPr="00FC71C0">
        <w:rPr>
          <w:lang w:val="fr-FR"/>
        </w:rPr>
        <w:t xml:space="preserve"> des parents de l</w:t>
      </w:r>
      <w:r w:rsidR="00F20289">
        <w:rPr>
          <w:lang w:val="fr-FR"/>
        </w:rPr>
        <w:t>’</w:t>
      </w:r>
      <w:r w:rsidR="00231E62" w:rsidRPr="00FC71C0">
        <w:rPr>
          <w:lang w:val="fr-FR"/>
        </w:rPr>
        <w:t xml:space="preserve">enfant. </w:t>
      </w:r>
      <w:r w:rsidR="008E7E4E" w:rsidRPr="00FC71C0">
        <w:rPr>
          <w:lang w:val="fr-FR"/>
        </w:rPr>
        <w:t>Aussi considère-t-il</w:t>
      </w:r>
      <w:r w:rsidR="00AB39C1" w:rsidRPr="00FC71C0">
        <w:rPr>
          <w:lang w:val="fr-FR"/>
        </w:rPr>
        <w:t xml:space="preserve"> </w:t>
      </w:r>
      <w:r w:rsidR="00231E62" w:rsidRPr="00FC71C0">
        <w:rPr>
          <w:lang w:val="fr-FR"/>
        </w:rPr>
        <w:t>que la décision interne concernant le droit de visite est intervenue</w:t>
      </w:r>
      <w:r w:rsidR="009A1D7A" w:rsidRPr="00FC71C0">
        <w:rPr>
          <w:lang w:val="fr-FR"/>
        </w:rPr>
        <w:t xml:space="preserve"> dans un délai raisonnable et qu</w:t>
      </w:r>
      <w:r w:rsidR="00F20289">
        <w:rPr>
          <w:lang w:val="fr-FR"/>
        </w:rPr>
        <w:t>’</w:t>
      </w:r>
      <w:r w:rsidR="009A1D7A" w:rsidRPr="00FC71C0">
        <w:rPr>
          <w:lang w:val="fr-FR"/>
        </w:rPr>
        <w:t>aucun manque de diligence des autorités internes compétentes ne saurait être décelé en l</w:t>
      </w:r>
      <w:r w:rsidR="00F20289">
        <w:rPr>
          <w:lang w:val="fr-FR"/>
        </w:rPr>
        <w:t>’</w:t>
      </w:r>
      <w:r w:rsidR="009A1D7A" w:rsidRPr="00FC71C0">
        <w:rPr>
          <w:lang w:val="fr-FR"/>
        </w:rPr>
        <w:t>espèce.</w:t>
      </w:r>
    </w:p>
    <w:p w:rsidR="00B2714D" w:rsidRPr="00FC71C0" w:rsidRDefault="00231E62"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43</w:t>
      </w:r>
      <w:r w:rsidRPr="00FC71C0">
        <w:rPr>
          <w:lang w:val="fr-FR"/>
        </w:rPr>
        <w:fldChar w:fldCharType="end"/>
      </w:r>
      <w:r w:rsidRPr="00FC71C0">
        <w:rPr>
          <w:lang w:val="fr-FR"/>
        </w:rPr>
        <w:t>.</w:t>
      </w:r>
      <w:r w:rsidR="006D64DD" w:rsidRPr="00FC71C0">
        <w:rPr>
          <w:lang w:val="fr-FR"/>
        </w:rPr>
        <w:t xml:space="preserve">   </w:t>
      </w:r>
      <w:r w:rsidR="008E7E4E" w:rsidRPr="00FC71C0">
        <w:rPr>
          <w:lang w:val="fr-FR"/>
        </w:rPr>
        <w:t xml:space="preserve">Selon </w:t>
      </w:r>
      <w:r w:rsidR="00A12253" w:rsidRPr="00FC71C0">
        <w:rPr>
          <w:lang w:val="fr-FR"/>
        </w:rPr>
        <w:t>le Gouvernement</w:t>
      </w:r>
      <w:r w:rsidR="008E7E4E" w:rsidRPr="00FC71C0">
        <w:rPr>
          <w:lang w:val="fr-FR"/>
        </w:rPr>
        <w:t xml:space="preserve">, les </w:t>
      </w:r>
      <w:r w:rsidR="00B2714D" w:rsidRPr="00FC71C0">
        <w:rPr>
          <w:lang w:val="fr-FR"/>
        </w:rPr>
        <w:t>autorités internes ont agi dans l</w:t>
      </w:r>
      <w:r w:rsidR="00F20289">
        <w:rPr>
          <w:lang w:val="fr-FR"/>
        </w:rPr>
        <w:t>’</w:t>
      </w:r>
      <w:r w:rsidR="00B2714D" w:rsidRPr="00FC71C0">
        <w:rPr>
          <w:lang w:val="fr-FR"/>
        </w:rPr>
        <w:t>intérêt de l</w:t>
      </w:r>
      <w:r w:rsidR="00F20289">
        <w:rPr>
          <w:lang w:val="fr-FR"/>
        </w:rPr>
        <w:t>’</w:t>
      </w:r>
      <w:r w:rsidR="00B2714D" w:rsidRPr="00FC71C0">
        <w:rPr>
          <w:lang w:val="fr-FR"/>
        </w:rPr>
        <w:t>enfant et ont pris toutes les mesures nécessaires pour mettre en place un parcours de rapprochement entre l</w:t>
      </w:r>
      <w:r w:rsidR="00F20289">
        <w:rPr>
          <w:lang w:val="fr-FR"/>
        </w:rPr>
        <w:t>’</w:t>
      </w:r>
      <w:r w:rsidR="00B2714D" w:rsidRPr="00FC71C0">
        <w:rPr>
          <w:lang w:val="fr-FR"/>
        </w:rPr>
        <w:t xml:space="preserve">enfant et les grands-parents et pour garantir le droit de visite de </w:t>
      </w:r>
      <w:r w:rsidR="008E7E4E" w:rsidRPr="00FC71C0">
        <w:rPr>
          <w:lang w:val="fr-FR"/>
        </w:rPr>
        <w:t xml:space="preserve">ces </w:t>
      </w:r>
      <w:r w:rsidR="00B2714D" w:rsidRPr="00FC71C0">
        <w:rPr>
          <w:lang w:val="fr-FR"/>
        </w:rPr>
        <w:t>derniers. À ce propos, se référant à la jurisprudence de la Cour (</w:t>
      </w:r>
      <w:r w:rsidR="00B2714D" w:rsidRPr="00FC71C0">
        <w:rPr>
          <w:i/>
          <w:lang w:val="fr-FR"/>
        </w:rPr>
        <w:t>Ignaccolo-Zenide c. Roumanie</w:t>
      </w:r>
      <w:r w:rsidR="00B2714D" w:rsidRPr="00FC71C0">
        <w:rPr>
          <w:lang w:val="fr-FR"/>
        </w:rPr>
        <w:t>, n</w:t>
      </w:r>
      <w:r w:rsidR="00B2714D" w:rsidRPr="00FC71C0">
        <w:rPr>
          <w:vertAlign w:val="superscript"/>
          <w:lang w:val="fr-FR"/>
        </w:rPr>
        <w:t>o</w:t>
      </w:r>
      <w:r w:rsidR="008068D5" w:rsidRPr="00FC71C0">
        <w:rPr>
          <w:lang w:val="fr-FR"/>
        </w:rPr>
        <w:t> </w:t>
      </w:r>
      <w:r w:rsidR="00B2714D" w:rsidRPr="00FC71C0">
        <w:rPr>
          <w:lang w:val="fr-FR"/>
        </w:rPr>
        <w:t>31679/96, § 94, CEDH 2000</w:t>
      </w:r>
      <w:r w:rsidR="00B2714D" w:rsidRPr="00FC71C0">
        <w:rPr>
          <w:lang w:val="fr-FR"/>
        </w:rPr>
        <w:noBreakHyphen/>
        <w:t>I), le Gouvernement rappelle que l</w:t>
      </w:r>
      <w:r w:rsidR="00F20289">
        <w:rPr>
          <w:lang w:val="fr-FR"/>
        </w:rPr>
        <w:t>’</w:t>
      </w:r>
      <w:r w:rsidR="00B2714D" w:rsidRPr="00FC71C0">
        <w:rPr>
          <w:lang w:val="fr-FR"/>
        </w:rPr>
        <w:t>obligation pour les autorités nationales de prendre des mesures visant à réunir</w:t>
      </w:r>
      <w:r w:rsidR="00776D1E" w:rsidRPr="00FC71C0">
        <w:rPr>
          <w:lang w:val="fr-FR"/>
        </w:rPr>
        <w:t xml:space="preserve"> l</w:t>
      </w:r>
      <w:r w:rsidR="00F20289">
        <w:rPr>
          <w:lang w:val="fr-FR"/>
        </w:rPr>
        <w:t>’</w:t>
      </w:r>
      <w:r w:rsidR="00776D1E" w:rsidRPr="00FC71C0">
        <w:rPr>
          <w:lang w:val="fr-FR"/>
        </w:rPr>
        <w:t>enfant et ses</w:t>
      </w:r>
      <w:r w:rsidR="00F20289">
        <w:rPr>
          <w:lang w:val="fr-FR"/>
        </w:rPr>
        <w:t xml:space="preserve"> grands</w:t>
      </w:r>
      <w:r w:rsidR="00F20289">
        <w:rPr>
          <w:lang w:val="fr-FR"/>
        </w:rPr>
        <w:noBreakHyphen/>
      </w:r>
      <w:r w:rsidR="00776D1E" w:rsidRPr="00FC71C0">
        <w:rPr>
          <w:lang w:val="fr-FR"/>
        </w:rPr>
        <w:t xml:space="preserve">parents </w:t>
      </w:r>
      <w:r w:rsidR="00B2714D" w:rsidRPr="00FC71C0">
        <w:rPr>
          <w:lang w:val="fr-FR"/>
        </w:rPr>
        <w:t>n</w:t>
      </w:r>
      <w:r w:rsidR="00F20289">
        <w:rPr>
          <w:lang w:val="fr-FR"/>
        </w:rPr>
        <w:t>’</w:t>
      </w:r>
      <w:r w:rsidR="00B2714D" w:rsidRPr="00FC71C0">
        <w:rPr>
          <w:lang w:val="fr-FR"/>
        </w:rPr>
        <w:t xml:space="preserve">est pas absolue, car il arrive que la réunion ne puisse avoir lieu immédiatement et </w:t>
      </w:r>
      <w:r w:rsidR="00B0647A" w:rsidRPr="00FC71C0">
        <w:rPr>
          <w:lang w:val="fr-FR"/>
        </w:rPr>
        <w:t>demande des mesures préparatoires</w:t>
      </w:r>
      <w:r w:rsidR="00B2714D" w:rsidRPr="00FC71C0">
        <w:rPr>
          <w:lang w:val="fr-FR"/>
        </w:rPr>
        <w:t>.</w:t>
      </w:r>
    </w:p>
    <w:p w:rsidR="00231E62" w:rsidRPr="00FC71C0" w:rsidRDefault="00B2714D"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44</w:t>
      </w:r>
      <w:r w:rsidRPr="00FC71C0">
        <w:rPr>
          <w:lang w:val="fr-FR"/>
        </w:rPr>
        <w:fldChar w:fldCharType="end"/>
      </w:r>
      <w:r w:rsidRPr="00FC71C0">
        <w:rPr>
          <w:lang w:val="fr-FR"/>
        </w:rPr>
        <w:t>.  </w:t>
      </w:r>
      <w:r w:rsidR="009A1D7A" w:rsidRPr="00FC71C0">
        <w:rPr>
          <w:lang w:val="fr-FR"/>
        </w:rPr>
        <w:t>Le Gouvernement rappelle que les services sociaux et les psychologues ont dûment pris en charge la situation, en assurant un parcours de rapprochement et d</w:t>
      </w:r>
      <w:r w:rsidR="00F20289">
        <w:rPr>
          <w:lang w:val="fr-FR"/>
        </w:rPr>
        <w:t>’</w:t>
      </w:r>
      <w:r w:rsidR="009A1D7A" w:rsidRPr="00FC71C0">
        <w:rPr>
          <w:lang w:val="fr-FR"/>
        </w:rPr>
        <w:t>assistance pour les grands-parents et l</w:t>
      </w:r>
      <w:r w:rsidR="00F20289">
        <w:rPr>
          <w:lang w:val="fr-FR"/>
        </w:rPr>
        <w:t>’</w:t>
      </w:r>
      <w:r w:rsidR="009A1D7A" w:rsidRPr="00FC71C0">
        <w:rPr>
          <w:lang w:val="fr-FR"/>
        </w:rPr>
        <w:t xml:space="preserve">enfant. </w:t>
      </w:r>
      <w:r w:rsidR="00615C4A" w:rsidRPr="00FC71C0">
        <w:rPr>
          <w:lang w:val="fr-FR"/>
        </w:rPr>
        <w:t>Il rappelle qu</w:t>
      </w:r>
      <w:r w:rsidR="00F20289">
        <w:rPr>
          <w:lang w:val="fr-FR"/>
        </w:rPr>
        <w:t>’</w:t>
      </w:r>
      <w:r w:rsidR="00615C4A" w:rsidRPr="00FC71C0">
        <w:rPr>
          <w:lang w:val="fr-FR"/>
        </w:rPr>
        <w:t>il ressort des rapport</w:t>
      </w:r>
      <w:r w:rsidR="00D5079D" w:rsidRPr="00FC71C0">
        <w:rPr>
          <w:lang w:val="fr-FR"/>
        </w:rPr>
        <w:t>s des experts que M.C.</w:t>
      </w:r>
      <w:r w:rsidR="00615C4A" w:rsidRPr="00FC71C0">
        <w:rPr>
          <w:lang w:val="fr-FR"/>
        </w:rPr>
        <w:t xml:space="preserve"> refusait de rencontrer </w:t>
      </w:r>
      <w:r w:rsidR="00111511" w:rsidRPr="00FC71C0">
        <w:rPr>
          <w:lang w:val="fr-FR"/>
        </w:rPr>
        <w:t xml:space="preserve">ses </w:t>
      </w:r>
      <w:r w:rsidR="00615C4A" w:rsidRPr="00FC71C0">
        <w:rPr>
          <w:lang w:val="fr-FR"/>
        </w:rPr>
        <w:t>grands-parents, en raison du fait qu</w:t>
      </w:r>
      <w:r w:rsidR="00F20289">
        <w:rPr>
          <w:lang w:val="fr-FR"/>
        </w:rPr>
        <w:t>’</w:t>
      </w:r>
      <w:r w:rsidR="00615C4A" w:rsidRPr="00FC71C0">
        <w:rPr>
          <w:lang w:val="fr-FR"/>
        </w:rPr>
        <w:t>elle les associait à son père et aux souffrances psychologiques liées à celui-ci.</w:t>
      </w:r>
      <w:r w:rsidRPr="00FC71C0">
        <w:rPr>
          <w:lang w:val="fr-FR"/>
        </w:rPr>
        <w:t xml:space="preserve"> L</w:t>
      </w:r>
      <w:r w:rsidR="00F20289">
        <w:rPr>
          <w:lang w:val="fr-FR"/>
        </w:rPr>
        <w:t>’</w:t>
      </w:r>
      <w:r w:rsidR="003E3BCE" w:rsidRPr="00FC71C0">
        <w:rPr>
          <w:lang w:val="fr-FR"/>
        </w:rPr>
        <w:t>interdiction du</w:t>
      </w:r>
      <w:r w:rsidRPr="00FC71C0">
        <w:rPr>
          <w:lang w:val="fr-FR"/>
        </w:rPr>
        <w:t xml:space="preserve"> </w:t>
      </w:r>
      <w:r w:rsidR="003E3BCE" w:rsidRPr="00FC71C0">
        <w:rPr>
          <w:lang w:val="fr-FR"/>
        </w:rPr>
        <w:t xml:space="preserve">droit de visite </w:t>
      </w:r>
      <w:r w:rsidRPr="00FC71C0">
        <w:rPr>
          <w:lang w:val="fr-FR"/>
        </w:rPr>
        <w:t>aurait donc été</w:t>
      </w:r>
      <w:r w:rsidR="00A12253" w:rsidRPr="00FC71C0">
        <w:rPr>
          <w:lang w:val="fr-FR"/>
        </w:rPr>
        <w:t xml:space="preserve"> </w:t>
      </w:r>
      <w:r w:rsidRPr="00FC71C0">
        <w:rPr>
          <w:lang w:val="fr-FR"/>
        </w:rPr>
        <w:t>justifié</w:t>
      </w:r>
      <w:r w:rsidR="002F4C48" w:rsidRPr="00FC71C0">
        <w:rPr>
          <w:lang w:val="fr-FR"/>
        </w:rPr>
        <w:t>e par le souci</w:t>
      </w:r>
      <w:r w:rsidRPr="00FC71C0">
        <w:rPr>
          <w:lang w:val="fr-FR"/>
        </w:rPr>
        <w:t xml:space="preserve"> de protéger la santé psychologique de l</w:t>
      </w:r>
      <w:r w:rsidR="00F20289">
        <w:rPr>
          <w:lang w:val="fr-FR"/>
        </w:rPr>
        <w:t>’</w:t>
      </w:r>
      <w:r w:rsidRPr="00FC71C0">
        <w:rPr>
          <w:lang w:val="fr-FR"/>
        </w:rPr>
        <w:t xml:space="preserve">enfant et </w:t>
      </w:r>
      <w:r w:rsidR="00776D1E" w:rsidRPr="00FC71C0">
        <w:rPr>
          <w:lang w:val="fr-FR"/>
        </w:rPr>
        <w:t xml:space="preserve">de </w:t>
      </w:r>
      <w:r w:rsidRPr="00FC71C0">
        <w:rPr>
          <w:lang w:val="fr-FR"/>
        </w:rPr>
        <w:t>respect</w:t>
      </w:r>
      <w:r w:rsidR="00776D1E" w:rsidRPr="00FC71C0">
        <w:rPr>
          <w:lang w:val="fr-FR"/>
        </w:rPr>
        <w:t xml:space="preserve">er </w:t>
      </w:r>
      <w:r w:rsidRPr="00FC71C0">
        <w:rPr>
          <w:lang w:val="fr-FR"/>
        </w:rPr>
        <w:t xml:space="preserve">sa propre volonté, telle que manifestée aux services sociaux et aux psychologues. Les </w:t>
      </w:r>
      <w:r w:rsidR="0007140C" w:rsidRPr="00FC71C0">
        <w:rPr>
          <w:lang w:val="fr-FR"/>
        </w:rPr>
        <w:t>autorités internes ont agi dans le but de trouver</w:t>
      </w:r>
      <w:r w:rsidRPr="00FC71C0">
        <w:rPr>
          <w:lang w:val="fr-FR"/>
        </w:rPr>
        <w:t xml:space="preserve"> un équilibre entre le droit de visite des grands-parents </w:t>
      </w:r>
      <w:r w:rsidR="0007140C" w:rsidRPr="00FC71C0">
        <w:rPr>
          <w:lang w:val="fr-FR"/>
        </w:rPr>
        <w:t>et l</w:t>
      </w:r>
      <w:r w:rsidR="00F20289">
        <w:rPr>
          <w:lang w:val="fr-FR"/>
        </w:rPr>
        <w:t>’</w:t>
      </w:r>
      <w:r w:rsidR="0007140C" w:rsidRPr="00FC71C0">
        <w:rPr>
          <w:lang w:val="fr-FR"/>
        </w:rPr>
        <w:t>intérêt supérieur de l</w:t>
      </w:r>
      <w:r w:rsidR="00F20289">
        <w:rPr>
          <w:lang w:val="fr-FR"/>
        </w:rPr>
        <w:t>’</w:t>
      </w:r>
      <w:r w:rsidR="0007140C" w:rsidRPr="00FC71C0">
        <w:rPr>
          <w:lang w:val="fr-FR"/>
        </w:rPr>
        <w:t>enfant.</w:t>
      </w:r>
    </w:p>
    <w:p w:rsidR="0007140C" w:rsidRPr="00FC71C0" w:rsidRDefault="00615C4A"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45</w:t>
      </w:r>
      <w:r w:rsidRPr="00FC71C0">
        <w:rPr>
          <w:lang w:val="fr-FR"/>
        </w:rPr>
        <w:fldChar w:fldCharType="end"/>
      </w:r>
      <w:r w:rsidRPr="00FC71C0">
        <w:rPr>
          <w:lang w:val="fr-FR"/>
        </w:rPr>
        <w:t>.  </w:t>
      </w:r>
      <w:r w:rsidR="0007140C" w:rsidRPr="00FC71C0">
        <w:rPr>
          <w:lang w:val="fr-FR"/>
        </w:rPr>
        <w:t>Se référant à l</w:t>
      </w:r>
      <w:r w:rsidR="00F20289">
        <w:rPr>
          <w:lang w:val="fr-FR"/>
        </w:rPr>
        <w:t>’</w:t>
      </w:r>
      <w:r w:rsidR="0007140C" w:rsidRPr="00FC71C0">
        <w:rPr>
          <w:lang w:val="fr-FR"/>
        </w:rPr>
        <w:t xml:space="preserve">affaire </w:t>
      </w:r>
      <w:r w:rsidR="0007140C" w:rsidRPr="00FC71C0">
        <w:rPr>
          <w:i/>
          <w:lang w:val="fr-FR"/>
        </w:rPr>
        <w:t>Lombardo c. Italie</w:t>
      </w:r>
      <w:r w:rsidR="0007140C" w:rsidRPr="00FC71C0">
        <w:rPr>
          <w:lang w:val="fr-FR"/>
        </w:rPr>
        <w:t xml:space="preserve"> </w:t>
      </w:r>
      <w:r w:rsidR="008314DD" w:rsidRPr="00FC71C0">
        <w:rPr>
          <w:lang w:val="fr-FR"/>
        </w:rPr>
        <w:t>(</w:t>
      </w:r>
      <w:r w:rsidR="0007140C" w:rsidRPr="00FC71C0">
        <w:rPr>
          <w:lang w:val="fr-FR"/>
        </w:rPr>
        <w:t>n</w:t>
      </w:r>
      <w:r w:rsidR="0007140C" w:rsidRPr="00FC71C0">
        <w:rPr>
          <w:vertAlign w:val="superscript"/>
          <w:lang w:val="fr-FR"/>
        </w:rPr>
        <w:t>o</w:t>
      </w:r>
      <w:r w:rsidR="008068D5" w:rsidRPr="00FC71C0">
        <w:rPr>
          <w:lang w:val="fr-FR"/>
        </w:rPr>
        <w:t> </w:t>
      </w:r>
      <w:r w:rsidR="00F20289">
        <w:rPr>
          <w:lang w:val="fr-FR"/>
        </w:rPr>
        <w:t>25704/11, § 90, 29 </w:t>
      </w:r>
      <w:r w:rsidR="0007140C" w:rsidRPr="00FC71C0">
        <w:rPr>
          <w:lang w:val="fr-FR"/>
        </w:rPr>
        <w:t>janvier 2013)</w:t>
      </w:r>
      <w:r w:rsidR="008314DD" w:rsidRPr="00FC71C0">
        <w:rPr>
          <w:lang w:val="fr-FR"/>
        </w:rPr>
        <w:t>,</w:t>
      </w:r>
      <w:r w:rsidR="0007140C" w:rsidRPr="00FC71C0">
        <w:rPr>
          <w:lang w:val="fr-FR"/>
        </w:rPr>
        <w:t xml:space="preserve"> le Gouvernement rappelle qu</w:t>
      </w:r>
      <w:r w:rsidR="00F20289">
        <w:rPr>
          <w:lang w:val="fr-FR"/>
        </w:rPr>
        <w:t>’</w:t>
      </w:r>
      <w:r w:rsidR="0007140C" w:rsidRPr="00FC71C0">
        <w:rPr>
          <w:lang w:val="fr-FR"/>
        </w:rPr>
        <w:t>il n</w:t>
      </w:r>
      <w:r w:rsidR="00F20289">
        <w:rPr>
          <w:lang w:val="fr-FR"/>
        </w:rPr>
        <w:t>’</w:t>
      </w:r>
      <w:r w:rsidR="0007140C" w:rsidRPr="00FC71C0">
        <w:rPr>
          <w:lang w:val="fr-FR"/>
        </w:rPr>
        <w:t>appartient pas à la Cour de se substituer aux autorités internes pour réglementer la situation de l</w:t>
      </w:r>
      <w:r w:rsidR="00F20289">
        <w:rPr>
          <w:lang w:val="fr-FR"/>
        </w:rPr>
        <w:t>’</w:t>
      </w:r>
      <w:r w:rsidR="0007140C" w:rsidRPr="00FC71C0">
        <w:rPr>
          <w:lang w:val="fr-FR"/>
        </w:rPr>
        <w:t>enfant, car ces autorités sont en principe mieux placées. Il rappelle, en outre</w:t>
      </w:r>
      <w:r w:rsidR="00776D1E" w:rsidRPr="00FC71C0">
        <w:rPr>
          <w:lang w:val="fr-FR"/>
        </w:rPr>
        <w:t>,</w:t>
      </w:r>
      <w:r w:rsidR="0007140C" w:rsidRPr="00FC71C0">
        <w:rPr>
          <w:lang w:val="fr-FR"/>
        </w:rPr>
        <w:t xml:space="preserve"> que le fait que les efforts des autorités </w:t>
      </w:r>
      <w:r w:rsidR="008E7E4E" w:rsidRPr="00FC71C0">
        <w:rPr>
          <w:lang w:val="fr-FR"/>
        </w:rPr>
        <w:t xml:space="preserve">aient </w:t>
      </w:r>
      <w:r w:rsidR="0007140C" w:rsidRPr="00FC71C0">
        <w:rPr>
          <w:lang w:val="fr-FR"/>
        </w:rPr>
        <w:t>été vains ne mène pas automatiquement à la conclusion que l</w:t>
      </w:r>
      <w:r w:rsidR="00F20289">
        <w:rPr>
          <w:lang w:val="fr-FR"/>
        </w:rPr>
        <w:t>’</w:t>
      </w:r>
      <w:r w:rsidR="0007140C" w:rsidRPr="00FC71C0">
        <w:rPr>
          <w:lang w:val="fr-FR"/>
        </w:rPr>
        <w:t>État a manqué aux obligations positives découlant de l</w:t>
      </w:r>
      <w:r w:rsidR="00F20289">
        <w:rPr>
          <w:lang w:val="fr-FR"/>
        </w:rPr>
        <w:t>’</w:t>
      </w:r>
      <w:r w:rsidR="0007140C" w:rsidRPr="00FC71C0">
        <w:rPr>
          <w:lang w:val="fr-FR"/>
        </w:rPr>
        <w:t>article</w:t>
      </w:r>
      <w:r w:rsidR="008068D5" w:rsidRPr="00FC71C0">
        <w:rPr>
          <w:lang w:val="fr-FR"/>
        </w:rPr>
        <w:t> </w:t>
      </w:r>
      <w:r w:rsidR="0007140C" w:rsidRPr="00FC71C0">
        <w:rPr>
          <w:lang w:val="fr-FR"/>
        </w:rPr>
        <w:t>8 de la Convention.</w:t>
      </w:r>
    </w:p>
    <w:p w:rsidR="008314DD" w:rsidRPr="00FC71C0" w:rsidRDefault="00B2714D"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46</w:t>
      </w:r>
      <w:r w:rsidRPr="00FC71C0">
        <w:rPr>
          <w:lang w:val="fr-FR"/>
        </w:rPr>
        <w:fldChar w:fldCharType="end"/>
      </w:r>
      <w:r w:rsidRPr="00FC71C0">
        <w:rPr>
          <w:lang w:val="fr-FR"/>
        </w:rPr>
        <w:t>.  </w:t>
      </w:r>
      <w:r w:rsidR="008314DD" w:rsidRPr="00FC71C0">
        <w:rPr>
          <w:lang w:val="fr-FR"/>
        </w:rPr>
        <w:t>Le Gouvernement affirme que les décisions internes ont dûment pris en compte l</w:t>
      </w:r>
      <w:r w:rsidR="00F20289">
        <w:rPr>
          <w:lang w:val="fr-FR"/>
        </w:rPr>
        <w:t>’</w:t>
      </w:r>
      <w:r w:rsidR="008314DD" w:rsidRPr="00FC71C0">
        <w:rPr>
          <w:lang w:val="fr-FR"/>
        </w:rPr>
        <w:t>intérêt supérieur de l</w:t>
      </w:r>
      <w:r w:rsidR="00F20289">
        <w:rPr>
          <w:lang w:val="fr-FR"/>
        </w:rPr>
        <w:t>’</w:t>
      </w:r>
      <w:r w:rsidR="008314DD" w:rsidRPr="00FC71C0">
        <w:rPr>
          <w:lang w:val="fr-FR"/>
        </w:rPr>
        <w:t>enfant et que, conformément aux Lignes directrices du Comité des Ministres du Conseil de l</w:t>
      </w:r>
      <w:r w:rsidR="00F20289">
        <w:rPr>
          <w:lang w:val="fr-FR"/>
        </w:rPr>
        <w:t>’</w:t>
      </w:r>
      <w:r w:rsidR="008314DD" w:rsidRPr="00FC71C0">
        <w:rPr>
          <w:lang w:val="fr-FR"/>
        </w:rPr>
        <w:t>Europe sur une justice adaptée aux enfants</w:t>
      </w:r>
      <w:r w:rsidR="008E7E4E" w:rsidRPr="00FC71C0">
        <w:rPr>
          <w:lang w:val="fr-FR"/>
        </w:rPr>
        <w:t>,</w:t>
      </w:r>
      <w:r w:rsidR="008314DD" w:rsidRPr="00FC71C0">
        <w:rPr>
          <w:lang w:val="fr-FR"/>
        </w:rPr>
        <w:t xml:space="preserve"> du 17 novembre 2010, </w:t>
      </w:r>
      <w:r w:rsidR="008E7E4E" w:rsidRPr="00FC71C0">
        <w:rPr>
          <w:lang w:val="fr-FR"/>
        </w:rPr>
        <w:t xml:space="preserve">ces décisions </w:t>
      </w:r>
      <w:r w:rsidR="008314DD" w:rsidRPr="00FC71C0">
        <w:rPr>
          <w:lang w:val="fr-FR"/>
        </w:rPr>
        <w:t>ont garanti la participation de l</w:t>
      </w:r>
      <w:r w:rsidR="00F20289">
        <w:rPr>
          <w:lang w:val="fr-FR"/>
        </w:rPr>
        <w:t>’</w:t>
      </w:r>
      <w:r w:rsidR="008314DD" w:rsidRPr="00FC71C0">
        <w:rPr>
          <w:lang w:val="fr-FR"/>
        </w:rPr>
        <w:t xml:space="preserve">enfant aux procédures le concernant. </w:t>
      </w:r>
      <w:r w:rsidR="00BC4D48" w:rsidRPr="00FC71C0">
        <w:rPr>
          <w:lang w:val="fr-FR"/>
        </w:rPr>
        <w:t xml:space="preserve">Toute mesure disponible et nécessaire pour garantir le droit à la vie familiale des requérants </w:t>
      </w:r>
      <w:r w:rsidR="008E7E4E" w:rsidRPr="00FC71C0">
        <w:rPr>
          <w:lang w:val="fr-FR"/>
        </w:rPr>
        <w:t xml:space="preserve">a selon lui </w:t>
      </w:r>
      <w:r w:rsidR="00BC4D48" w:rsidRPr="00FC71C0">
        <w:rPr>
          <w:lang w:val="fr-FR"/>
        </w:rPr>
        <w:t>été prise en l</w:t>
      </w:r>
      <w:r w:rsidR="00F20289">
        <w:rPr>
          <w:lang w:val="fr-FR"/>
        </w:rPr>
        <w:t>’</w:t>
      </w:r>
      <w:r w:rsidR="00BC4D48" w:rsidRPr="00FC71C0">
        <w:rPr>
          <w:lang w:val="fr-FR"/>
        </w:rPr>
        <w:t xml:space="preserve">espèce. </w:t>
      </w:r>
      <w:r w:rsidR="008314DD" w:rsidRPr="00FC71C0">
        <w:rPr>
          <w:lang w:val="fr-FR"/>
        </w:rPr>
        <w:t xml:space="preserve">Il demande dès lors à la Cour de </w:t>
      </w:r>
      <w:r w:rsidR="001276BD" w:rsidRPr="00FC71C0">
        <w:rPr>
          <w:lang w:val="fr-FR"/>
        </w:rPr>
        <w:t>déclarer la requête irrecevable puisque manifestement mal fondée.</w:t>
      </w:r>
    </w:p>
    <w:p w:rsidR="00376A13" w:rsidRPr="00FC71C0" w:rsidRDefault="002F4C48" w:rsidP="00FC71C0">
      <w:pPr>
        <w:pStyle w:val="ECHRHeading3"/>
        <w:rPr>
          <w:lang w:val="fr-FR" w:eastAsia="en-GB"/>
        </w:rPr>
      </w:pPr>
      <w:r w:rsidRPr="00FC71C0">
        <w:rPr>
          <w:lang w:val="fr-FR" w:eastAsia="en-GB"/>
        </w:rPr>
        <w:t>2.  A</w:t>
      </w:r>
      <w:r w:rsidR="00376A13" w:rsidRPr="00FC71C0">
        <w:rPr>
          <w:lang w:val="fr-FR" w:eastAsia="en-GB"/>
        </w:rPr>
        <w:t>ppréciation de la Cour</w:t>
      </w:r>
    </w:p>
    <w:p w:rsidR="00376A13" w:rsidRPr="00FC71C0" w:rsidRDefault="00376A13" w:rsidP="00FC71C0">
      <w:pPr>
        <w:pStyle w:val="ECHRHeading4"/>
        <w:rPr>
          <w:lang w:val="fr-FR"/>
        </w:rPr>
      </w:pPr>
      <w:r w:rsidRPr="00FC71C0">
        <w:rPr>
          <w:lang w:val="fr-FR"/>
        </w:rPr>
        <w:t>a)  Principes généraux</w:t>
      </w:r>
    </w:p>
    <w:p w:rsidR="00081483" w:rsidRPr="00FC71C0" w:rsidRDefault="00376A13" w:rsidP="00FC71C0">
      <w:pPr>
        <w:pStyle w:val="ECHRPara"/>
        <w:rPr>
          <w:rStyle w:val="JuParaCa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47</w:t>
      </w:r>
      <w:r w:rsidRPr="00FC71C0">
        <w:rPr>
          <w:lang w:val="fr-FR"/>
        </w:rPr>
        <w:fldChar w:fldCharType="end"/>
      </w:r>
      <w:r w:rsidRPr="00FC71C0">
        <w:rPr>
          <w:lang w:val="fr-FR"/>
        </w:rPr>
        <w:t>.  </w:t>
      </w:r>
      <w:r w:rsidR="00081483" w:rsidRPr="00FC71C0">
        <w:rPr>
          <w:rStyle w:val="JuParaCar"/>
          <w:lang w:val="fr-FR"/>
        </w:rPr>
        <w:t>Comme la Cour l</w:t>
      </w:r>
      <w:r w:rsidR="00F20289">
        <w:rPr>
          <w:rStyle w:val="JuParaCar"/>
          <w:lang w:val="fr-FR"/>
        </w:rPr>
        <w:t>’</w:t>
      </w:r>
      <w:r w:rsidR="00081483" w:rsidRPr="00FC71C0">
        <w:rPr>
          <w:rStyle w:val="JuParaCar"/>
          <w:lang w:val="fr-FR"/>
        </w:rPr>
        <w:t>a rappelé à maintes reprises, si l</w:t>
      </w:r>
      <w:r w:rsidR="00F20289">
        <w:rPr>
          <w:rStyle w:val="JuParaCar"/>
          <w:lang w:val="fr-FR"/>
        </w:rPr>
        <w:t>’</w:t>
      </w:r>
      <w:r w:rsidR="00081483" w:rsidRPr="00FC71C0">
        <w:rPr>
          <w:rStyle w:val="JuParaCar"/>
          <w:lang w:val="fr-FR"/>
        </w:rPr>
        <w:t>article</w:t>
      </w:r>
      <w:r w:rsidR="008068D5" w:rsidRPr="00FC71C0">
        <w:rPr>
          <w:rStyle w:val="JuParaCar"/>
          <w:lang w:val="fr-FR"/>
        </w:rPr>
        <w:t> </w:t>
      </w:r>
      <w:r w:rsidR="00081483" w:rsidRPr="00FC71C0">
        <w:rPr>
          <w:rStyle w:val="JuParaCar"/>
          <w:lang w:val="fr-FR"/>
        </w:rPr>
        <w:t>8 a essentiellement pour objet de prémunir l</w:t>
      </w:r>
      <w:r w:rsidR="00F20289">
        <w:rPr>
          <w:rStyle w:val="JuParaCar"/>
          <w:lang w:val="fr-FR"/>
        </w:rPr>
        <w:t>’</w:t>
      </w:r>
      <w:r w:rsidR="00081483" w:rsidRPr="00FC71C0">
        <w:rPr>
          <w:rStyle w:val="JuParaCar"/>
          <w:lang w:val="fr-FR"/>
        </w:rPr>
        <w:t>individu contre les ingérences arbitraires des pouvoirs publics, il ne se contente pas de commander à l</w:t>
      </w:r>
      <w:r w:rsidR="00F20289">
        <w:rPr>
          <w:rStyle w:val="JuParaCar"/>
          <w:lang w:val="fr-FR"/>
        </w:rPr>
        <w:t>’</w:t>
      </w:r>
      <w:r w:rsidR="00081483" w:rsidRPr="00FC71C0">
        <w:rPr>
          <w:rStyle w:val="JuParaCar"/>
          <w:lang w:val="fr-FR"/>
        </w:rPr>
        <w:t>État de s</w:t>
      </w:r>
      <w:r w:rsidR="00F20289">
        <w:rPr>
          <w:rStyle w:val="JuParaCar"/>
          <w:lang w:val="fr-FR"/>
        </w:rPr>
        <w:t>’</w:t>
      </w:r>
      <w:r w:rsidR="00081483" w:rsidRPr="00FC71C0">
        <w:rPr>
          <w:rStyle w:val="JuParaCar"/>
          <w:lang w:val="fr-FR"/>
        </w:rPr>
        <w:t>abstenir de pareilles ingérences : à cet engagement plutôt négatif peuvent s</w:t>
      </w:r>
      <w:r w:rsidR="00F20289">
        <w:rPr>
          <w:rStyle w:val="JuParaCar"/>
          <w:lang w:val="fr-FR"/>
        </w:rPr>
        <w:t>’</w:t>
      </w:r>
      <w:r w:rsidR="00081483" w:rsidRPr="00FC71C0">
        <w:rPr>
          <w:rStyle w:val="JuParaCar"/>
          <w:lang w:val="fr-FR"/>
        </w:rPr>
        <w:t>ajouter des obligations positives inhérentes à un respect effectif de la vie privée ou familiale. Elles peuvent impliquer l</w:t>
      </w:r>
      <w:r w:rsidR="00F20289">
        <w:rPr>
          <w:rStyle w:val="JuParaCar"/>
          <w:lang w:val="fr-FR"/>
        </w:rPr>
        <w:t>’</w:t>
      </w:r>
      <w:r w:rsidR="00081483" w:rsidRPr="00FC71C0">
        <w:rPr>
          <w:rStyle w:val="JuParaCar"/>
          <w:lang w:val="fr-FR"/>
        </w:rPr>
        <w:t>adoption de mesures visant au respect de la vie familiale jusque dans les relations des individus entre eux, dont la mise en place d</w:t>
      </w:r>
      <w:r w:rsidR="00F20289">
        <w:rPr>
          <w:rStyle w:val="JuParaCar"/>
          <w:lang w:val="fr-FR"/>
        </w:rPr>
        <w:t>’</w:t>
      </w:r>
      <w:r w:rsidR="00081483" w:rsidRPr="00FC71C0">
        <w:rPr>
          <w:rStyle w:val="JuParaCar"/>
          <w:lang w:val="fr-FR"/>
        </w:rPr>
        <w:t xml:space="preserve">un arsenal juridique adéquat et suffisant pour </w:t>
      </w:r>
      <w:r w:rsidR="008E7E4E" w:rsidRPr="00FC71C0">
        <w:rPr>
          <w:rStyle w:val="JuParaCar"/>
          <w:lang w:val="fr-FR"/>
        </w:rPr>
        <w:t xml:space="preserve">garantir </w:t>
      </w:r>
      <w:r w:rsidR="00081483" w:rsidRPr="00FC71C0">
        <w:rPr>
          <w:rStyle w:val="JuParaCar"/>
          <w:lang w:val="fr-FR"/>
        </w:rPr>
        <w:t xml:space="preserve">les droits légitimes des intéressés ainsi que le respect des décisions judiciaires, ou des mesures spécifiques appropriées (voir, </w:t>
      </w:r>
      <w:r w:rsidR="00081483" w:rsidRPr="00FC71C0">
        <w:rPr>
          <w:rStyle w:val="JuParaCar"/>
          <w:i/>
          <w:lang w:val="fr-FR"/>
        </w:rPr>
        <w:t>mutatis mutandis</w:t>
      </w:r>
      <w:r w:rsidR="00081483" w:rsidRPr="00FC71C0">
        <w:rPr>
          <w:rStyle w:val="JuParaCar"/>
          <w:lang w:val="fr-FR"/>
        </w:rPr>
        <w:t xml:space="preserve">, </w:t>
      </w:r>
      <w:r w:rsidR="00081483" w:rsidRPr="00FC71C0">
        <w:rPr>
          <w:rStyle w:val="JuParaCar"/>
          <w:i/>
          <w:lang w:val="fr-FR"/>
        </w:rPr>
        <w:t>Zawadka c. Pologne</w:t>
      </w:r>
      <w:r w:rsidR="00081483" w:rsidRPr="00FC71C0">
        <w:rPr>
          <w:rStyle w:val="JuParaCar"/>
          <w:lang w:val="fr-FR"/>
        </w:rPr>
        <w:t>, nº</w:t>
      </w:r>
      <w:r w:rsidR="008068D5" w:rsidRPr="00FC71C0">
        <w:rPr>
          <w:rStyle w:val="JuParaCar"/>
          <w:lang w:val="fr-FR"/>
        </w:rPr>
        <w:t> </w:t>
      </w:r>
      <w:r w:rsidR="00081483" w:rsidRPr="00FC71C0">
        <w:rPr>
          <w:rStyle w:val="JuParaCar"/>
          <w:lang w:val="fr-FR"/>
        </w:rPr>
        <w:t>48542/99, § 53, 23 juin 2005). Cet</w:t>
      </w:r>
      <w:r w:rsidR="004C2A5D" w:rsidRPr="00FC71C0">
        <w:rPr>
          <w:rStyle w:val="JuParaCar"/>
          <w:lang w:val="fr-FR"/>
        </w:rPr>
        <w:t xml:space="preserve"> </w:t>
      </w:r>
      <w:r w:rsidR="00081483" w:rsidRPr="00FC71C0">
        <w:rPr>
          <w:rStyle w:val="JuParaCar"/>
          <w:lang w:val="fr-FR"/>
        </w:rPr>
        <w:t>arsenal doit permettre à l</w:t>
      </w:r>
      <w:r w:rsidR="00F20289">
        <w:rPr>
          <w:rStyle w:val="JuParaCar"/>
          <w:lang w:val="fr-FR"/>
        </w:rPr>
        <w:t>’</w:t>
      </w:r>
      <w:r w:rsidR="00081483" w:rsidRPr="00FC71C0">
        <w:rPr>
          <w:rStyle w:val="JuParaCar"/>
          <w:lang w:val="fr-FR"/>
        </w:rPr>
        <w:t>État d</w:t>
      </w:r>
      <w:r w:rsidR="00F20289">
        <w:rPr>
          <w:rStyle w:val="JuParaCar"/>
          <w:lang w:val="fr-FR"/>
        </w:rPr>
        <w:t>’</w:t>
      </w:r>
      <w:r w:rsidR="00081483" w:rsidRPr="00FC71C0">
        <w:rPr>
          <w:rStyle w:val="JuParaCar"/>
          <w:lang w:val="fr-FR"/>
        </w:rPr>
        <w:t xml:space="preserve">adopter des mesures propres à réunir le parent et son enfant, y compris en cas de conflit opposant les deux parents (voir, </w:t>
      </w:r>
      <w:r w:rsidR="00081483" w:rsidRPr="00FC71C0">
        <w:rPr>
          <w:rStyle w:val="JuParaCar"/>
          <w:i/>
          <w:lang w:val="fr-FR"/>
        </w:rPr>
        <w:t>mutatis mutandis</w:t>
      </w:r>
      <w:r w:rsidR="00081483" w:rsidRPr="00FC71C0">
        <w:rPr>
          <w:rStyle w:val="JuParaCar"/>
          <w:lang w:val="fr-FR"/>
        </w:rPr>
        <w:t xml:space="preserve">, </w:t>
      </w:r>
      <w:r w:rsidR="00081483" w:rsidRPr="00FC71C0">
        <w:rPr>
          <w:rStyle w:val="JuParaCar"/>
          <w:i/>
          <w:lang w:val="fr-FR"/>
        </w:rPr>
        <w:t>Ignaccolo-Zenide</w:t>
      </w:r>
      <w:r w:rsidR="00081483" w:rsidRPr="00FC71C0">
        <w:rPr>
          <w:rStyle w:val="JuParaCar"/>
          <w:lang w:val="fr-FR"/>
        </w:rPr>
        <w:t>,</w:t>
      </w:r>
      <w:r w:rsidR="00293DBF" w:rsidRPr="00FC71C0">
        <w:rPr>
          <w:rStyle w:val="JuParaCar"/>
          <w:lang w:val="fr-FR"/>
        </w:rPr>
        <w:t xml:space="preserve"> </w:t>
      </w:r>
      <w:r w:rsidR="00FC73BD" w:rsidRPr="00FC71C0">
        <w:rPr>
          <w:rStyle w:val="JuParaCar"/>
          <w:lang w:val="fr-FR"/>
        </w:rPr>
        <w:t>précité</w:t>
      </w:r>
      <w:r w:rsidR="00081483" w:rsidRPr="00FC71C0">
        <w:rPr>
          <w:rStyle w:val="JuParaCar"/>
          <w:lang w:val="fr-FR"/>
        </w:rPr>
        <w:t xml:space="preserve">, § 108, </w:t>
      </w:r>
      <w:r w:rsidR="00081483" w:rsidRPr="00FC71C0">
        <w:rPr>
          <w:rStyle w:val="JuParaCar"/>
          <w:i/>
          <w:lang w:val="fr-FR"/>
        </w:rPr>
        <w:t>Sylvester c.</w:t>
      </w:r>
      <w:r w:rsidR="00FC73BD" w:rsidRPr="00FC71C0">
        <w:rPr>
          <w:rStyle w:val="JuParaCar"/>
          <w:i/>
          <w:lang w:val="fr-FR"/>
        </w:rPr>
        <w:t> </w:t>
      </w:r>
      <w:r w:rsidR="00081483" w:rsidRPr="00FC71C0">
        <w:rPr>
          <w:rStyle w:val="JuParaCar"/>
          <w:i/>
          <w:lang w:val="fr-FR"/>
        </w:rPr>
        <w:t>Autriche</w:t>
      </w:r>
      <w:r w:rsidR="00081483" w:rsidRPr="00FC71C0">
        <w:rPr>
          <w:rStyle w:val="JuParaCar"/>
          <w:lang w:val="fr-FR"/>
        </w:rPr>
        <w:t>, n</w:t>
      </w:r>
      <w:r w:rsidR="00081483" w:rsidRPr="00FC71C0">
        <w:rPr>
          <w:rStyle w:val="JuParaCar"/>
          <w:vertAlign w:val="superscript"/>
          <w:lang w:val="fr-FR"/>
        </w:rPr>
        <w:t>os</w:t>
      </w:r>
      <w:r w:rsidR="00F20289">
        <w:rPr>
          <w:rStyle w:val="JuParaCar"/>
          <w:lang w:val="fr-FR"/>
        </w:rPr>
        <w:t> </w:t>
      </w:r>
      <w:r w:rsidR="00081483" w:rsidRPr="00FC71C0">
        <w:rPr>
          <w:rStyle w:val="JuParaCar"/>
          <w:lang w:val="fr-FR"/>
        </w:rPr>
        <w:t xml:space="preserve">36812/97 et 40104/98, § 68, 24 avril 2003, </w:t>
      </w:r>
      <w:r w:rsidR="00081483" w:rsidRPr="00FC71C0">
        <w:rPr>
          <w:rStyle w:val="JuParaCar"/>
          <w:i/>
          <w:lang w:val="fr-FR"/>
        </w:rPr>
        <w:t>Zavřel c.</w:t>
      </w:r>
      <w:r w:rsidR="00FC73BD" w:rsidRPr="00FC71C0">
        <w:rPr>
          <w:rStyle w:val="JuParaCar"/>
          <w:i/>
          <w:lang w:val="fr-FR"/>
        </w:rPr>
        <w:t> </w:t>
      </w:r>
      <w:r w:rsidR="00081483" w:rsidRPr="00FC71C0">
        <w:rPr>
          <w:rStyle w:val="JuParaCar"/>
          <w:i/>
          <w:lang w:val="fr-FR"/>
        </w:rPr>
        <w:t>République tchèque</w:t>
      </w:r>
      <w:r w:rsidR="00081483" w:rsidRPr="00FC71C0">
        <w:rPr>
          <w:rStyle w:val="JuParaCar"/>
          <w:lang w:val="fr-FR"/>
        </w:rPr>
        <w:t>, n</w:t>
      </w:r>
      <w:r w:rsidR="00081483" w:rsidRPr="00FC71C0">
        <w:rPr>
          <w:rStyle w:val="JuParaCar"/>
          <w:vertAlign w:val="superscript"/>
          <w:lang w:val="fr-FR"/>
        </w:rPr>
        <w:t>o</w:t>
      </w:r>
      <w:r w:rsidR="008068D5" w:rsidRPr="00FC71C0">
        <w:rPr>
          <w:rStyle w:val="JuParaCar"/>
          <w:lang w:val="fr-FR"/>
        </w:rPr>
        <w:t> </w:t>
      </w:r>
      <w:r w:rsidR="00081483" w:rsidRPr="00FC71C0">
        <w:rPr>
          <w:rStyle w:val="JuParaCar"/>
          <w:lang w:val="fr-FR"/>
        </w:rPr>
        <w:t xml:space="preserve">14044/05, § 47, 18 janvier 2007, et </w:t>
      </w:r>
      <w:r w:rsidR="00081483" w:rsidRPr="00FC71C0">
        <w:rPr>
          <w:rStyle w:val="JuParaCar"/>
          <w:i/>
          <w:lang w:val="fr-FR"/>
        </w:rPr>
        <w:t>Mihailova c.</w:t>
      </w:r>
      <w:r w:rsidR="00FC73BD" w:rsidRPr="00FC71C0">
        <w:rPr>
          <w:rStyle w:val="JuParaCar"/>
          <w:i/>
          <w:lang w:val="fr-FR"/>
        </w:rPr>
        <w:t> </w:t>
      </w:r>
      <w:r w:rsidR="00081483" w:rsidRPr="00FC71C0">
        <w:rPr>
          <w:rStyle w:val="JuParaCar"/>
          <w:i/>
          <w:lang w:val="fr-FR"/>
        </w:rPr>
        <w:t>Bulgarie</w:t>
      </w:r>
      <w:r w:rsidR="00081483" w:rsidRPr="00FC71C0">
        <w:rPr>
          <w:rStyle w:val="JuParaCar"/>
          <w:lang w:val="fr-FR"/>
        </w:rPr>
        <w:t>, n</w:t>
      </w:r>
      <w:r w:rsidR="00081483" w:rsidRPr="00FC71C0">
        <w:rPr>
          <w:rStyle w:val="JuParaCar"/>
          <w:vertAlign w:val="superscript"/>
          <w:lang w:val="fr-FR"/>
        </w:rPr>
        <w:t>o</w:t>
      </w:r>
      <w:r w:rsidR="008068D5" w:rsidRPr="00FC71C0">
        <w:rPr>
          <w:rStyle w:val="JuParaCar"/>
          <w:lang w:val="fr-FR"/>
        </w:rPr>
        <w:t> </w:t>
      </w:r>
      <w:r w:rsidR="00F20289">
        <w:rPr>
          <w:rStyle w:val="JuParaCar"/>
          <w:lang w:val="fr-FR"/>
        </w:rPr>
        <w:t>35978/02, § </w:t>
      </w:r>
      <w:r w:rsidR="00081483" w:rsidRPr="00FC71C0">
        <w:rPr>
          <w:rStyle w:val="JuParaCar"/>
          <w:lang w:val="fr-FR"/>
        </w:rPr>
        <w:t>80, 12 janvier </w:t>
      </w:r>
      <w:r w:rsidR="0000235A" w:rsidRPr="00FC71C0">
        <w:rPr>
          <w:rStyle w:val="JuParaCar"/>
          <w:lang w:val="fr-FR"/>
        </w:rPr>
        <w:t>2006). Il en va de même lorsqu</w:t>
      </w:r>
      <w:r w:rsidR="00F20289">
        <w:rPr>
          <w:rStyle w:val="JuParaCar"/>
          <w:lang w:val="fr-FR"/>
        </w:rPr>
        <w:t>’</w:t>
      </w:r>
      <w:r w:rsidR="0000235A" w:rsidRPr="00FC71C0">
        <w:rPr>
          <w:rStyle w:val="JuParaCar"/>
          <w:lang w:val="fr-FR"/>
        </w:rPr>
        <w:t>il s</w:t>
      </w:r>
      <w:r w:rsidR="00F20289">
        <w:rPr>
          <w:rStyle w:val="JuParaCar"/>
          <w:lang w:val="fr-FR"/>
        </w:rPr>
        <w:t>’</w:t>
      </w:r>
      <w:r w:rsidR="0000235A" w:rsidRPr="00FC71C0">
        <w:rPr>
          <w:rStyle w:val="JuParaCar"/>
          <w:lang w:val="fr-FR"/>
        </w:rPr>
        <w:t>agit, comme en l</w:t>
      </w:r>
      <w:r w:rsidR="00F20289">
        <w:rPr>
          <w:rStyle w:val="JuParaCar"/>
          <w:lang w:val="fr-FR"/>
        </w:rPr>
        <w:t>’</w:t>
      </w:r>
      <w:r w:rsidR="0000235A" w:rsidRPr="00FC71C0">
        <w:rPr>
          <w:rStyle w:val="JuParaCar"/>
          <w:lang w:val="fr-FR"/>
        </w:rPr>
        <w:t>espèce, des relations entre l</w:t>
      </w:r>
      <w:r w:rsidR="00F20289">
        <w:rPr>
          <w:rStyle w:val="JuParaCar"/>
          <w:lang w:val="fr-FR"/>
        </w:rPr>
        <w:t>’</w:t>
      </w:r>
      <w:r w:rsidR="0000235A" w:rsidRPr="00FC71C0">
        <w:rPr>
          <w:rStyle w:val="JuParaCar"/>
          <w:lang w:val="fr-FR"/>
        </w:rPr>
        <w:t>enfant et ses grands-parents (</w:t>
      </w:r>
      <w:r w:rsidR="0000235A" w:rsidRPr="00FC71C0">
        <w:rPr>
          <w:i/>
          <w:lang w:val="fr-FR"/>
        </w:rPr>
        <w:t>Nistor c. Roumanie</w:t>
      </w:r>
      <w:r w:rsidR="0000235A" w:rsidRPr="00FC71C0">
        <w:rPr>
          <w:lang w:val="fr-FR"/>
        </w:rPr>
        <w:t>, n</w:t>
      </w:r>
      <w:r w:rsidR="0000235A" w:rsidRPr="00FC71C0">
        <w:rPr>
          <w:vertAlign w:val="superscript"/>
          <w:lang w:val="fr-FR"/>
        </w:rPr>
        <w:t>o</w:t>
      </w:r>
      <w:r w:rsidR="008068D5" w:rsidRPr="00FC71C0">
        <w:rPr>
          <w:vertAlign w:val="superscript"/>
          <w:lang w:val="fr-FR"/>
        </w:rPr>
        <w:t> </w:t>
      </w:r>
      <w:r w:rsidR="0000235A" w:rsidRPr="00FC71C0">
        <w:rPr>
          <w:lang w:val="fr-FR"/>
        </w:rPr>
        <w:t>14565/05</w:t>
      </w:r>
      <w:r w:rsidR="0000235A" w:rsidRPr="00FC71C0">
        <w:rPr>
          <w:snapToGrid w:val="0"/>
          <w:szCs w:val="24"/>
          <w:lang w:val="fr-FR"/>
        </w:rPr>
        <w:t xml:space="preserve">, § 71 2 </w:t>
      </w:r>
      <w:r w:rsidR="0000235A" w:rsidRPr="00FC71C0">
        <w:rPr>
          <w:szCs w:val="24"/>
          <w:lang w:val="fr-FR"/>
        </w:rPr>
        <w:t>novembre</w:t>
      </w:r>
      <w:r w:rsidR="0000235A" w:rsidRPr="00FC71C0">
        <w:rPr>
          <w:snapToGrid w:val="0"/>
          <w:szCs w:val="24"/>
          <w:lang w:val="fr-FR"/>
        </w:rPr>
        <w:t xml:space="preserve"> 2010</w:t>
      </w:r>
      <w:r w:rsidR="008068D5" w:rsidRPr="00FC71C0">
        <w:rPr>
          <w:snapToGrid w:val="0"/>
          <w:szCs w:val="24"/>
          <w:lang w:val="fr-FR"/>
        </w:rPr>
        <w:t> </w:t>
      </w:r>
      <w:r w:rsidR="0000235A" w:rsidRPr="00FC71C0">
        <w:rPr>
          <w:snapToGrid w:val="0"/>
          <w:szCs w:val="24"/>
          <w:lang w:val="fr-FR"/>
        </w:rPr>
        <w:t xml:space="preserve">; </w:t>
      </w:r>
      <w:r w:rsidR="0000235A" w:rsidRPr="00FC71C0">
        <w:rPr>
          <w:i/>
          <w:lang w:val="fr-FR"/>
        </w:rPr>
        <w:t>Bronda c. Italie</w:t>
      </w:r>
      <w:r w:rsidR="0000235A" w:rsidRPr="00FC71C0">
        <w:rPr>
          <w:lang w:val="fr-FR"/>
        </w:rPr>
        <w:t xml:space="preserve">, 9 juin 1998, </w:t>
      </w:r>
      <w:r w:rsidR="0000235A" w:rsidRPr="00FC71C0">
        <w:rPr>
          <w:i/>
          <w:lang w:val="fr-FR"/>
        </w:rPr>
        <w:t>Recueil des arrêts et décisions</w:t>
      </w:r>
      <w:r w:rsidR="008068D5" w:rsidRPr="00FC71C0">
        <w:rPr>
          <w:lang w:val="fr-FR"/>
        </w:rPr>
        <w:t> </w:t>
      </w:r>
      <w:r w:rsidR="0000235A" w:rsidRPr="00FC71C0">
        <w:rPr>
          <w:lang w:val="fr-FR"/>
        </w:rPr>
        <w:t>1998</w:t>
      </w:r>
      <w:r w:rsidR="0000235A" w:rsidRPr="00FC71C0">
        <w:rPr>
          <w:lang w:val="fr-FR"/>
        </w:rPr>
        <w:noBreakHyphen/>
        <w:t xml:space="preserve">IV). </w:t>
      </w:r>
      <w:r w:rsidR="00081483" w:rsidRPr="00FC71C0">
        <w:rPr>
          <w:rStyle w:val="JuParaCar"/>
          <w:lang w:val="fr-FR"/>
        </w:rPr>
        <w:t>Elle rappelle aussi que les obligations positives ne se limitent pas à veiller à ce que l</w:t>
      </w:r>
      <w:r w:rsidR="00F20289">
        <w:rPr>
          <w:rStyle w:val="JuParaCar"/>
          <w:lang w:val="fr-FR"/>
        </w:rPr>
        <w:t>’</w:t>
      </w:r>
      <w:r w:rsidR="00081483" w:rsidRPr="00FC71C0">
        <w:rPr>
          <w:rStyle w:val="JuParaCar"/>
          <w:lang w:val="fr-FR"/>
        </w:rPr>
        <w:t>enfant puisse rejoindre son parent ou avoir un contact avec lui, mais qu</w:t>
      </w:r>
      <w:r w:rsidR="00F20289">
        <w:rPr>
          <w:rStyle w:val="JuParaCar"/>
          <w:lang w:val="fr-FR"/>
        </w:rPr>
        <w:t>’</w:t>
      </w:r>
      <w:r w:rsidR="00081483" w:rsidRPr="00FC71C0">
        <w:rPr>
          <w:rStyle w:val="JuParaCar"/>
          <w:lang w:val="fr-FR"/>
        </w:rPr>
        <w:t>elles englobent également l</w:t>
      </w:r>
      <w:r w:rsidR="00F20289">
        <w:rPr>
          <w:rStyle w:val="JuParaCar"/>
          <w:lang w:val="fr-FR"/>
        </w:rPr>
        <w:t>’</w:t>
      </w:r>
      <w:r w:rsidR="00081483" w:rsidRPr="00FC71C0">
        <w:rPr>
          <w:rStyle w:val="JuParaCar"/>
          <w:lang w:val="fr-FR"/>
        </w:rPr>
        <w:t xml:space="preserve">ensemble des mesures préparatoires permettant de parvenir à ce résultat (voir, </w:t>
      </w:r>
      <w:r w:rsidR="00081483" w:rsidRPr="00FC71C0">
        <w:rPr>
          <w:rStyle w:val="JuParaCar"/>
          <w:i/>
          <w:lang w:val="fr-FR"/>
        </w:rPr>
        <w:t>mutatis mutandis</w:t>
      </w:r>
      <w:r w:rsidR="00081483" w:rsidRPr="00FC71C0">
        <w:rPr>
          <w:rStyle w:val="JuParaCar"/>
          <w:lang w:val="fr-FR"/>
        </w:rPr>
        <w:t xml:space="preserve">, </w:t>
      </w:r>
      <w:r w:rsidR="004C2A5D" w:rsidRPr="00FC71C0">
        <w:rPr>
          <w:rStyle w:val="JuParaCar"/>
          <w:i/>
          <w:lang w:val="fr-FR"/>
        </w:rPr>
        <w:t xml:space="preserve">Kosmopoulou c. </w:t>
      </w:r>
      <w:r w:rsidR="00081483" w:rsidRPr="00FC71C0">
        <w:rPr>
          <w:rStyle w:val="JuParaCar"/>
          <w:i/>
          <w:lang w:val="fr-FR"/>
        </w:rPr>
        <w:t>Grèce</w:t>
      </w:r>
      <w:r w:rsidR="00081483" w:rsidRPr="00FC71C0">
        <w:rPr>
          <w:rStyle w:val="JuParaCar"/>
          <w:lang w:val="fr-FR"/>
        </w:rPr>
        <w:t>, n</w:t>
      </w:r>
      <w:r w:rsidR="00081483" w:rsidRPr="00FC71C0">
        <w:rPr>
          <w:rStyle w:val="JuParaCar"/>
          <w:vertAlign w:val="superscript"/>
          <w:lang w:val="fr-FR"/>
        </w:rPr>
        <w:t>o</w:t>
      </w:r>
      <w:r w:rsidR="008068D5" w:rsidRPr="00FC71C0">
        <w:rPr>
          <w:rStyle w:val="JuParaCar"/>
          <w:lang w:val="fr-FR"/>
        </w:rPr>
        <w:t> </w:t>
      </w:r>
      <w:r w:rsidR="00081483" w:rsidRPr="00FC71C0">
        <w:rPr>
          <w:rStyle w:val="JuParaCar"/>
          <w:lang w:val="fr-FR"/>
        </w:rPr>
        <w:t xml:space="preserve">60457/00, § 45, 5 février 2004, </w:t>
      </w:r>
      <w:r w:rsidR="00081483" w:rsidRPr="00FC71C0">
        <w:rPr>
          <w:rStyle w:val="JuParaCar"/>
          <w:i/>
          <w:lang w:val="fr-FR"/>
        </w:rPr>
        <w:t>Amanalachioai c. Roumanie</w:t>
      </w:r>
      <w:r w:rsidR="00081483" w:rsidRPr="00FC71C0">
        <w:rPr>
          <w:rStyle w:val="JuParaCar"/>
          <w:lang w:val="fr-FR"/>
        </w:rPr>
        <w:t>, n</w:t>
      </w:r>
      <w:r w:rsidR="00081483" w:rsidRPr="00FC71C0">
        <w:rPr>
          <w:rStyle w:val="JuParaCar"/>
          <w:vertAlign w:val="superscript"/>
          <w:lang w:val="fr-FR"/>
        </w:rPr>
        <w:t>o</w:t>
      </w:r>
      <w:r w:rsidR="00081483" w:rsidRPr="00FC71C0">
        <w:rPr>
          <w:rStyle w:val="JuParaCar"/>
          <w:lang w:val="fr-FR"/>
        </w:rPr>
        <w:t xml:space="preserve"> 4023/04, § 95, 26 mai 2009, </w:t>
      </w:r>
      <w:r w:rsidR="00081483" w:rsidRPr="00FC71C0">
        <w:rPr>
          <w:rStyle w:val="JuParaCar"/>
          <w:i/>
          <w:lang w:val="fr-FR"/>
        </w:rPr>
        <w:t>Ignaccolo-Zenide</w:t>
      </w:r>
      <w:r w:rsidR="00081483" w:rsidRPr="00FC71C0">
        <w:rPr>
          <w:rStyle w:val="JuParaCar"/>
          <w:lang w:val="fr-FR"/>
        </w:rPr>
        <w:t xml:space="preserve">, précité, §§ 105 et 112, et </w:t>
      </w:r>
      <w:r w:rsidR="00081483" w:rsidRPr="00FC71C0">
        <w:rPr>
          <w:rStyle w:val="JuParaCar"/>
          <w:i/>
          <w:lang w:val="fr-FR"/>
        </w:rPr>
        <w:t>Sylvester</w:t>
      </w:r>
      <w:r w:rsidR="00081483" w:rsidRPr="00FC71C0">
        <w:rPr>
          <w:rStyle w:val="JuParaCar"/>
          <w:lang w:val="fr-FR"/>
        </w:rPr>
        <w:t>, précité, § 70).</w:t>
      </w:r>
    </w:p>
    <w:p w:rsidR="00081483" w:rsidRPr="00FC71C0" w:rsidRDefault="00081483" w:rsidP="00FC71C0">
      <w:pPr>
        <w:pStyle w:val="ECHRPara"/>
        <w:rPr>
          <w:i/>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48</w:t>
      </w:r>
      <w:r w:rsidRPr="00FC71C0">
        <w:rPr>
          <w:lang w:val="fr-FR"/>
        </w:rPr>
        <w:fldChar w:fldCharType="end"/>
      </w:r>
      <w:r w:rsidRPr="00FC71C0">
        <w:rPr>
          <w:lang w:val="fr-FR"/>
        </w:rPr>
        <w:t>.  Pour être adéquates, les mesures visant à réunir le parent et son enfant doivent être mises en place rapidement, car l</w:t>
      </w:r>
      <w:r w:rsidR="00F20289">
        <w:rPr>
          <w:lang w:val="fr-FR"/>
        </w:rPr>
        <w:t>’</w:t>
      </w:r>
      <w:r w:rsidRPr="00FC71C0">
        <w:rPr>
          <w:lang w:val="fr-FR"/>
        </w:rPr>
        <w:t>écoulement du temps peut avoir des conséquences irrémédiables pour les relations entre l</w:t>
      </w:r>
      <w:r w:rsidR="00F20289">
        <w:rPr>
          <w:lang w:val="fr-FR"/>
        </w:rPr>
        <w:t>’</w:t>
      </w:r>
      <w:r w:rsidRPr="00FC71C0">
        <w:rPr>
          <w:lang w:val="fr-FR"/>
        </w:rPr>
        <w:t>enfant et celui des parents qui ne vit pas avec lui (</w:t>
      </w:r>
      <w:r w:rsidR="00622E98" w:rsidRPr="00FC71C0">
        <w:rPr>
          <w:i/>
          <w:lang w:val="fr-FR"/>
        </w:rPr>
        <w:t>Lombardo,</w:t>
      </w:r>
      <w:r w:rsidR="00622E98" w:rsidRPr="00FC71C0">
        <w:rPr>
          <w:rStyle w:val="JuParaCar"/>
          <w:lang w:val="fr-FR"/>
        </w:rPr>
        <w:t xml:space="preserve"> </w:t>
      </w:r>
      <w:r w:rsidR="004C2A5D" w:rsidRPr="00FC71C0">
        <w:rPr>
          <w:rStyle w:val="JuParaCar"/>
          <w:lang w:val="fr-FR"/>
        </w:rPr>
        <w:t>§</w:t>
      </w:r>
      <w:r w:rsidR="008068D5" w:rsidRPr="00FC71C0">
        <w:rPr>
          <w:rStyle w:val="JuParaCar"/>
          <w:lang w:val="fr-FR"/>
        </w:rPr>
        <w:t> </w:t>
      </w:r>
      <w:r w:rsidR="004C2A5D" w:rsidRPr="00FC71C0">
        <w:rPr>
          <w:rStyle w:val="JuParaCar"/>
          <w:lang w:val="fr-FR"/>
        </w:rPr>
        <w:t>81, précité</w:t>
      </w:r>
      <w:r w:rsidR="008068D5" w:rsidRPr="00FC71C0">
        <w:rPr>
          <w:rStyle w:val="JuParaCar"/>
          <w:lang w:val="fr-FR"/>
        </w:rPr>
        <w:t> </w:t>
      </w:r>
      <w:r w:rsidR="00622E98" w:rsidRPr="00FC71C0">
        <w:rPr>
          <w:rStyle w:val="JuParaCar"/>
          <w:lang w:val="fr-FR"/>
        </w:rPr>
        <w:t xml:space="preserve">; </w:t>
      </w:r>
      <w:r w:rsidR="00622E98" w:rsidRPr="00FC71C0">
        <w:rPr>
          <w:i/>
          <w:lang w:val="fr-FR"/>
        </w:rPr>
        <w:t>Nicolò Santilli c. Italie</w:t>
      </w:r>
      <w:r w:rsidR="00622E98" w:rsidRPr="00FC71C0">
        <w:rPr>
          <w:lang w:val="fr-FR"/>
        </w:rPr>
        <w:t>, n</w:t>
      </w:r>
      <w:r w:rsidR="00622E98" w:rsidRPr="00FC71C0">
        <w:rPr>
          <w:vertAlign w:val="superscript"/>
          <w:lang w:val="fr-FR"/>
        </w:rPr>
        <w:t>o</w:t>
      </w:r>
      <w:r w:rsidR="008068D5" w:rsidRPr="00FC71C0">
        <w:rPr>
          <w:lang w:val="fr-FR"/>
        </w:rPr>
        <w:t> </w:t>
      </w:r>
      <w:r w:rsidR="00622E98" w:rsidRPr="00FC71C0">
        <w:rPr>
          <w:lang w:val="fr-FR"/>
        </w:rPr>
        <w:t>51930/10</w:t>
      </w:r>
      <w:r w:rsidR="00622E98" w:rsidRPr="00FC71C0">
        <w:rPr>
          <w:snapToGrid w:val="0"/>
          <w:lang w:val="fr-FR"/>
        </w:rPr>
        <w:t xml:space="preserve">, § 65 17 </w:t>
      </w:r>
      <w:r w:rsidR="00622E98" w:rsidRPr="00FC71C0">
        <w:rPr>
          <w:lang w:val="fr-FR"/>
        </w:rPr>
        <w:t>décembre</w:t>
      </w:r>
      <w:r w:rsidR="00622E98" w:rsidRPr="00FC71C0">
        <w:rPr>
          <w:snapToGrid w:val="0"/>
          <w:lang w:val="fr-FR"/>
        </w:rPr>
        <w:t xml:space="preserve"> 2013)</w:t>
      </w:r>
      <w:r w:rsidR="00622E98" w:rsidRPr="00FC71C0">
        <w:rPr>
          <w:lang w:val="fr-FR"/>
        </w:rPr>
        <w:t>.</w:t>
      </w:r>
    </w:p>
    <w:p w:rsidR="00081483" w:rsidRPr="00FC71C0" w:rsidRDefault="00081483" w:rsidP="00FC71C0">
      <w:pPr>
        <w:pStyle w:val="ECHRPara"/>
        <w:rPr>
          <w:lang w:val="fr-FR"/>
        </w:rPr>
      </w:pPr>
      <w:r w:rsidRPr="00FC71C0">
        <w:rPr>
          <w:lang w:val="fr-FR" w:eastAsia="en-GB"/>
        </w:rPr>
        <w:fldChar w:fldCharType="begin"/>
      </w:r>
      <w:r w:rsidRPr="00FC71C0">
        <w:rPr>
          <w:lang w:val="fr-FR" w:eastAsia="en-GB"/>
        </w:rPr>
        <w:instrText xml:space="preserve"> SEQ level0 \*arabic </w:instrText>
      </w:r>
      <w:r w:rsidRPr="00FC71C0">
        <w:rPr>
          <w:lang w:val="fr-FR" w:eastAsia="en-GB"/>
        </w:rPr>
        <w:fldChar w:fldCharType="separate"/>
      </w:r>
      <w:r w:rsidR="00964EA9">
        <w:rPr>
          <w:noProof/>
          <w:lang w:val="fr-FR" w:eastAsia="en-GB"/>
        </w:rPr>
        <w:t>49</w:t>
      </w:r>
      <w:r w:rsidRPr="00FC71C0">
        <w:rPr>
          <w:lang w:val="fr-FR" w:eastAsia="en-GB"/>
        </w:rPr>
        <w:fldChar w:fldCharType="end"/>
      </w:r>
      <w:r w:rsidRPr="00FC71C0">
        <w:rPr>
          <w:lang w:val="fr-FR" w:eastAsia="en-GB"/>
        </w:rPr>
        <w:t>.  La Cour rappelle que le fait que les efforts des autorités ont été vains ne mène pas automatiquement à la conclusion que l</w:t>
      </w:r>
      <w:r w:rsidR="00F20289">
        <w:rPr>
          <w:lang w:val="fr-FR" w:eastAsia="en-GB"/>
        </w:rPr>
        <w:t>’</w:t>
      </w:r>
      <w:r w:rsidRPr="00FC71C0">
        <w:rPr>
          <w:lang w:val="fr-FR" w:eastAsia="en-GB"/>
        </w:rPr>
        <w:t>État a manqué aux obligations positives qui découlent pour lui de l</w:t>
      </w:r>
      <w:r w:rsidR="00F20289">
        <w:rPr>
          <w:lang w:val="fr-FR" w:eastAsia="en-GB"/>
        </w:rPr>
        <w:t>’</w:t>
      </w:r>
      <w:r w:rsidRPr="00FC71C0">
        <w:rPr>
          <w:lang w:val="fr-FR" w:eastAsia="en-GB"/>
        </w:rPr>
        <w:t>article</w:t>
      </w:r>
      <w:r w:rsidR="008068D5" w:rsidRPr="00FC71C0">
        <w:rPr>
          <w:lang w:val="fr-FR" w:eastAsia="en-GB"/>
        </w:rPr>
        <w:t> </w:t>
      </w:r>
      <w:r w:rsidRPr="00FC71C0">
        <w:rPr>
          <w:lang w:val="fr-FR" w:eastAsia="en-GB"/>
        </w:rPr>
        <w:t>8 de la Convention (voir</w:t>
      </w:r>
      <w:r w:rsidR="00FA0FA1" w:rsidRPr="00FC71C0">
        <w:rPr>
          <w:lang w:val="fr-FR" w:eastAsia="en-GB"/>
        </w:rPr>
        <w:t xml:space="preserve"> </w:t>
      </w:r>
      <w:r w:rsidR="00FA0FA1" w:rsidRPr="00FC71C0">
        <w:rPr>
          <w:i/>
          <w:iCs/>
          <w:lang w:val="fr-FR" w:eastAsia="en-GB"/>
        </w:rPr>
        <w:t>Lombardo,</w:t>
      </w:r>
      <w:r w:rsidR="00FA0FA1" w:rsidRPr="00FC71C0">
        <w:rPr>
          <w:snapToGrid w:val="0"/>
          <w:lang w:val="fr-FR"/>
        </w:rPr>
        <w:t xml:space="preserve"> §</w:t>
      </w:r>
      <w:r w:rsidR="008068D5" w:rsidRPr="00FC71C0">
        <w:rPr>
          <w:snapToGrid w:val="0"/>
          <w:lang w:val="fr-FR"/>
        </w:rPr>
        <w:t> </w:t>
      </w:r>
      <w:r w:rsidR="00FA0FA1" w:rsidRPr="00FC71C0">
        <w:rPr>
          <w:snapToGrid w:val="0"/>
          <w:lang w:val="fr-FR"/>
        </w:rPr>
        <w:t>84, précité ;</w:t>
      </w:r>
      <w:r w:rsidR="00FA0FA1" w:rsidRPr="00FC71C0">
        <w:rPr>
          <w:i/>
          <w:lang w:val="fr-FR"/>
        </w:rPr>
        <w:t xml:space="preserve"> Nicolò Santilli,</w:t>
      </w:r>
      <w:r w:rsidR="00FA0FA1" w:rsidRPr="00FC71C0">
        <w:rPr>
          <w:snapToGrid w:val="0"/>
          <w:lang w:val="fr-FR"/>
        </w:rPr>
        <w:t xml:space="preserve"> §</w:t>
      </w:r>
      <w:r w:rsidR="008068D5" w:rsidRPr="00FC71C0">
        <w:rPr>
          <w:snapToGrid w:val="0"/>
          <w:lang w:val="fr-FR"/>
        </w:rPr>
        <w:t> </w:t>
      </w:r>
      <w:r w:rsidR="00FA0FA1" w:rsidRPr="00FC71C0">
        <w:rPr>
          <w:snapToGrid w:val="0"/>
          <w:lang w:val="fr-FR"/>
        </w:rPr>
        <w:t>67, précité</w:t>
      </w:r>
      <w:r w:rsidR="00FA0FA1" w:rsidRPr="00FC71C0">
        <w:rPr>
          <w:lang w:val="fr-FR"/>
        </w:rPr>
        <w:t>)</w:t>
      </w:r>
      <w:r w:rsidRPr="00FC71C0">
        <w:rPr>
          <w:lang w:val="fr-FR" w:eastAsia="en-GB"/>
        </w:rPr>
        <w:t>. En effet, l</w:t>
      </w:r>
      <w:r w:rsidR="00F20289">
        <w:rPr>
          <w:lang w:val="fr-FR" w:eastAsia="en-GB"/>
        </w:rPr>
        <w:t>’</w:t>
      </w:r>
      <w:r w:rsidRPr="00FC71C0">
        <w:rPr>
          <w:lang w:val="fr-FR" w:eastAsia="en-GB"/>
        </w:rPr>
        <w:t>obligation pour les autorités nationales de prendre des mesures afin de réunir l</w:t>
      </w:r>
      <w:r w:rsidR="00F20289">
        <w:rPr>
          <w:lang w:val="fr-FR" w:eastAsia="en-GB"/>
        </w:rPr>
        <w:t>’</w:t>
      </w:r>
      <w:r w:rsidRPr="00FC71C0">
        <w:rPr>
          <w:lang w:val="fr-FR" w:eastAsia="en-GB"/>
        </w:rPr>
        <w:t>enfant et le parent avec lequel il ne vit pas n</w:t>
      </w:r>
      <w:r w:rsidR="00F20289">
        <w:rPr>
          <w:lang w:val="fr-FR" w:eastAsia="en-GB"/>
        </w:rPr>
        <w:t>’</w:t>
      </w:r>
      <w:r w:rsidRPr="00FC71C0">
        <w:rPr>
          <w:lang w:val="fr-FR" w:eastAsia="en-GB"/>
        </w:rPr>
        <w:t>est pas absolue, et la compréhension et la coopération de l</w:t>
      </w:r>
      <w:r w:rsidR="00F20289">
        <w:rPr>
          <w:lang w:val="fr-FR" w:eastAsia="en-GB"/>
        </w:rPr>
        <w:t>’</w:t>
      </w:r>
      <w:r w:rsidRPr="00FC71C0">
        <w:rPr>
          <w:lang w:val="fr-FR" w:eastAsia="en-GB"/>
        </w:rPr>
        <w:t>ensemble des personnes concernées constituent toujours un facteur important. Si les autorités nationales doivent s</w:t>
      </w:r>
      <w:r w:rsidR="00F20289">
        <w:rPr>
          <w:lang w:val="fr-FR" w:eastAsia="en-GB"/>
        </w:rPr>
        <w:t>’</w:t>
      </w:r>
      <w:r w:rsidRPr="00FC71C0">
        <w:rPr>
          <w:lang w:val="fr-FR" w:eastAsia="en-GB"/>
        </w:rPr>
        <w:t>efforcer de faciliter pareille collaboration, une obligation pour elles de recourir à la coercition en la mati</w:t>
      </w:r>
      <w:r w:rsidR="004C2A5D" w:rsidRPr="00FC71C0">
        <w:rPr>
          <w:lang w:val="fr-FR" w:eastAsia="en-GB"/>
        </w:rPr>
        <w:t>ère ne saurait être que limitée</w:t>
      </w:r>
      <w:r w:rsidR="000032AA" w:rsidRPr="00FC71C0">
        <w:rPr>
          <w:lang w:val="fr-FR" w:eastAsia="en-GB"/>
        </w:rPr>
        <w:t> </w:t>
      </w:r>
      <w:r w:rsidRPr="00FC71C0">
        <w:rPr>
          <w:lang w:val="fr-FR" w:eastAsia="en-GB"/>
        </w:rPr>
        <w:t>: il leur faut tenir compte des intérêts et des droits et libertés de ces mêmes personnes, et, notamment, des intérêts supérieurs de l</w:t>
      </w:r>
      <w:r w:rsidR="00F20289">
        <w:rPr>
          <w:lang w:val="fr-FR" w:eastAsia="en-GB"/>
        </w:rPr>
        <w:t>’</w:t>
      </w:r>
      <w:r w:rsidRPr="00FC71C0">
        <w:rPr>
          <w:lang w:val="fr-FR" w:eastAsia="en-GB"/>
        </w:rPr>
        <w:t>enfant et des droits que lui confère l</w:t>
      </w:r>
      <w:r w:rsidR="00F20289">
        <w:rPr>
          <w:lang w:val="fr-FR" w:eastAsia="en-GB"/>
        </w:rPr>
        <w:t>’</w:t>
      </w:r>
      <w:r w:rsidRPr="00FC71C0">
        <w:rPr>
          <w:lang w:val="fr-FR" w:eastAsia="en-GB"/>
        </w:rPr>
        <w:t>article</w:t>
      </w:r>
      <w:r w:rsidR="008068D5" w:rsidRPr="00FC71C0">
        <w:rPr>
          <w:lang w:val="fr-FR" w:eastAsia="en-GB"/>
        </w:rPr>
        <w:t> </w:t>
      </w:r>
      <w:r w:rsidRPr="00FC71C0">
        <w:rPr>
          <w:lang w:val="fr-FR" w:eastAsia="en-GB"/>
        </w:rPr>
        <w:t>8 de la Convention (</w:t>
      </w:r>
      <w:r w:rsidRPr="00FC71C0">
        <w:rPr>
          <w:i/>
          <w:lang w:val="fr-FR"/>
        </w:rPr>
        <w:t>Voleský c. République tchèque</w:t>
      </w:r>
      <w:r w:rsidRPr="00FC71C0">
        <w:rPr>
          <w:lang w:val="fr-FR"/>
        </w:rPr>
        <w:t>, n</w:t>
      </w:r>
      <w:r w:rsidRPr="00FC71C0">
        <w:rPr>
          <w:vertAlign w:val="superscript"/>
          <w:lang w:val="fr-FR"/>
        </w:rPr>
        <w:t>o</w:t>
      </w:r>
      <w:r w:rsidR="008068D5" w:rsidRPr="00FC71C0">
        <w:rPr>
          <w:lang w:val="fr-FR"/>
        </w:rPr>
        <w:t> </w:t>
      </w:r>
      <w:r w:rsidRPr="00FC71C0">
        <w:rPr>
          <w:lang w:val="fr-FR"/>
        </w:rPr>
        <w:t>63267/00, § 118, 29 juin 2004</w:t>
      </w:r>
      <w:r w:rsidRPr="00FC71C0">
        <w:rPr>
          <w:lang w:val="fr-FR" w:eastAsia="en-GB"/>
        </w:rPr>
        <w:t>). Comme la jurisprudence de la Cour le reconnaît de manière constante, la plus grande prudence s</w:t>
      </w:r>
      <w:r w:rsidR="00F20289">
        <w:rPr>
          <w:lang w:val="fr-FR" w:eastAsia="en-GB"/>
        </w:rPr>
        <w:t>’</w:t>
      </w:r>
      <w:r w:rsidRPr="00FC71C0">
        <w:rPr>
          <w:lang w:val="fr-FR" w:eastAsia="en-GB"/>
        </w:rPr>
        <w:t>impose lorsqu</w:t>
      </w:r>
      <w:r w:rsidR="00F20289">
        <w:rPr>
          <w:lang w:val="fr-FR" w:eastAsia="en-GB"/>
        </w:rPr>
        <w:t>’</w:t>
      </w:r>
      <w:r w:rsidRPr="00FC71C0">
        <w:rPr>
          <w:lang w:val="fr-FR" w:eastAsia="en-GB"/>
        </w:rPr>
        <w:t>il s</w:t>
      </w:r>
      <w:r w:rsidR="00F20289">
        <w:rPr>
          <w:lang w:val="fr-FR" w:eastAsia="en-GB"/>
        </w:rPr>
        <w:t>’</w:t>
      </w:r>
      <w:r w:rsidRPr="00FC71C0">
        <w:rPr>
          <w:lang w:val="fr-FR" w:eastAsia="en-GB"/>
        </w:rPr>
        <w:t>agit de recourir à la coercition en ce domaine délicat (</w:t>
      </w:r>
      <w:r w:rsidRPr="00FC71C0">
        <w:rPr>
          <w:i/>
          <w:iCs/>
          <w:lang w:val="fr-FR" w:eastAsia="en-GB"/>
        </w:rPr>
        <w:t>Reigado Ramos c. Portugal</w:t>
      </w:r>
      <w:r w:rsidRPr="00FC71C0">
        <w:rPr>
          <w:lang w:val="fr-FR" w:eastAsia="en-GB"/>
        </w:rPr>
        <w:t>, n</w:t>
      </w:r>
      <w:r w:rsidRPr="00FC71C0">
        <w:rPr>
          <w:vertAlign w:val="superscript"/>
          <w:lang w:val="fr-FR" w:eastAsia="en-GB"/>
        </w:rPr>
        <w:t>o</w:t>
      </w:r>
      <w:r w:rsidR="008068D5" w:rsidRPr="00FC71C0">
        <w:rPr>
          <w:lang w:val="fr-FR" w:eastAsia="en-GB"/>
        </w:rPr>
        <w:t> </w:t>
      </w:r>
      <w:r w:rsidRPr="00FC71C0">
        <w:rPr>
          <w:lang w:val="fr-FR" w:eastAsia="en-GB"/>
        </w:rPr>
        <w:t>73229/01, § 53, 22 novembre 2005) et l</w:t>
      </w:r>
      <w:r w:rsidR="00F20289">
        <w:rPr>
          <w:lang w:val="fr-FR" w:eastAsia="en-GB"/>
        </w:rPr>
        <w:t>’</w:t>
      </w:r>
      <w:r w:rsidRPr="00FC71C0">
        <w:rPr>
          <w:lang w:val="fr-FR" w:eastAsia="en-GB"/>
        </w:rPr>
        <w:t>article</w:t>
      </w:r>
      <w:r w:rsidR="008068D5" w:rsidRPr="00FC71C0">
        <w:rPr>
          <w:lang w:val="fr-FR" w:eastAsia="en-GB"/>
        </w:rPr>
        <w:t> </w:t>
      </w:r>
      <w:r w:rsidRPr="00FC71C0">
        <w:rPr>
          <w:lang w:val="fr-FR" w:eastAsia="en-GB"/>
        </w:rPr>
        <w:t xml:space="preserve">8 de la Convention ne saurait autoriser </w:t>
      </w:r>
      <w:r w:rsidR="00D10E77" w:rsidRPr="00FC71C0">
        <w:rPr>
          <w:lang w:val="fr-FR" w:eastAsia="en-GB"/>
        </w:rPr>
        <w:t xml:space="preserve">un </w:t>
      </w:r>
      <w:r w:rsidRPr="00FC71C0">
        <w:rPr>
          <w:lang w:val="fr-FR" w:eastAsia="en-GB"/>
        </w:rPr>
        <w:t>parent à faire prendre des mesures préjudiciables à la santé et au développement de l</w:t>
      </w:r>
      <w:r w:rsidR="00F20289">
        <w:rPr>
          <w:lang w:val="fr-FR" w:eastAsia="en-GB"/>
        </w:rPr>
        <w:t>’</w:t>
      </w:r>
      <w:r w:rsidRPr="00FC71C0">
        <w:rPr>
          <w:lang w:val="fr-FR" w:eastAsia="en-GB"/>
        </w:rPr>
        <w:t>enfant (</w:t>
      </w:r>
      <w:r w:rsidRPr="00FC71C0">
        <w:rPr>
          <w:i/>
          <w:iCs/>
          <w:lang w:val="fr-FR" w:eastAsia="en-GB"/>
        </w:rPr>
        <w:t>Elsholz c. Allemagne</w:t>
      </w:r>
      <w:r w:rsidR="00802A66" w:rsidRPr="00FC71C0">
        <w:rPr>
          <w:lang w:val="fr-FR" w:eastAsia="en-GB"/>
        </w:rPr>
        <w:t xml:space="preserve"> [GC], </w:t>
      </w:r>
      <w:r w:rsidRPr="00FC71C0">
        <w:rPr>
          <w:lang w:val="fr-FR" w:eastAsia="en-GB"/>
        </w:rPr>
        <w:t>nº</w:t>
      </w:r>
      <w:r w:rsidR="00FC73BD" w:rsidRPr="00FC71C0">
        <w:rPr>
          <w:lang w:val="fr-FR" w:eastAsia="en-GB"/>
        </w:rPr>
        <w:t> </w:t>
      </w:r>
      <w:r w:rsidRPr="00FC71C0">
        <w:rPr>
          <w:lang w:val="fr-FR" w:eastAsia="en-GB"/>
        </w:rPr>
        <w:t>25735/94, §§ 49</w:t>
      </w:r>
      <w:r w:rsidRPr="00FC71C0">
        <w:rPr>
          <w:lang w:val="fr-FR" w:eastAsia="en-GB"/>
        </w:rPr>
        <w:noBreakHyphen/>
        <w:t>50, CEDH 2000</w:t>
      </w:r>
      <w:r w:rsidRPr="00FC71C0">
        <w:rPr>
          <w:lang w:val="fr-FR" w:eastAsia="en-GB"/>
        </w:rPr>
        <w:noBreakHyphen/>
        <w:t xml:space="preserve">VIII). </w:t>
      </w:r>
      <w:r w:rsidRPr="00FC71C0">
        <w:rPr>
          <w:lang w:val="fr-FR"/>
        </w:rPr>
        <w:t>Le point décisif consiste donc à savoir si les autorités nationales ont pris, pour faciliter les visites, toutes les mesures nécessaires que l</w:t>
      </w:r>
      <w:r w:rsidR="00F20289">
        <w:rPr>
          <w:lang w:val="fr-FR"/>
        </w:rPr>
        <w:t>’</w:t>
      </w:r>
      <w:r w:rsidRPr="00FC71C0">
        <w:rPr>
          <w:lang w:val="fr-FR"/>
        </w:rPr>
        <w:t>on pouvait raisonnablement exiger d</w:t>
      </w:r>
      <w:r w:rsidR="00F20289">
        <w:rPr>
          <w:lang w:val="fr-FR"/>
        </w:rPr>
        <w:t>’</w:t>
      </w:r>
      <w:r w:rsidRPr="00FC71C0">
        <w:rPr>
          <w:lang w:val="fr-FR"/>
        </w:rPr>
        <w:t>elles (</w:t>
      </w:r>
      <w:r w:rsidR="004C2A5D" w:rsidRPr="00FC71C0">
        <w:rPr>
          <w:i/>
          <w:lang w:val="fr-FR"/>
        </w:rPr>
        <w:t xml:space="preserve">Nuutinen c. </w:t>
      </w:r>
      <w:r w:rsidRPr="00FC71C0">
        <w:rPr>
          <w:i/>
          <w:lang w:val="fr-FR"/>
        </w:rPr>
        <w:t>Finlande</w:t>
      </w:r>
      <w:r w:rsidRPr="00FC71C0">
        <w:rPr>
          <w:lang w:val="fr-FR"/>
        </w:rPr>
        <w:t>, nº</w:t>
      </w:r>
      <w:r w:rsidR="008068D5" w:rsidRPr="00FC71C0">
        <w:rPr>
          <w:lang w:val="fr-FR"/>
        </w:rPr>
        <w:t> </w:t>
      </w:r>
      <w:r w:rsidRPr="00FC71C0">
        <w:rPr>
          <w:lang w:val="fr-FR"/>
        </w:rPr>
        <w:t>32842/96, § 128, CEDH 2000</w:t>
      </w:r>
      <w:r w:rsidRPr="00FC71C0">
        <w:rPr>
          <w:lang w:val="fr-FR"/>
        </w:rPr>
        <w:noBreakHyphen/>
        <w:t>VIII).</w:t>
      </w:r>
    </w:p>
    <w:p w:rsidR="002D3090" w:rsidRPr="00FC71C0" w:rsidRDefault="002D3090" w:rsidP="00FC71C0">
      <w:pPr>
        <w:pStyle w:val="ECHRHeading4"/>
        <w:rPr>
          <w:lang w:val="fr-FR"/>
        </w:rPr>
      </w:pPr>
      <w:r w:rsidRPr="00FC71C0">
        <w:rPr>
          <w:lang w:val="fr-FR"/>
        </w:rPr>
        <w:t>b)  Application de ces principes au cas d</w:t>
      </w:r>
      <w:r w:rsidR="00F20289">
        <w:rPr>
          <w:lang w:val="fr-FR"/>
        </w:rPr>
        <w:t>’</w:t>
      </w:r>
      <w:r w:rsidRPr="00FC71C0">
        <w:rPr>
          <w:lang w:val="fr-FR"/>
        </w:rPr>
        <w:t>espèce</w:t>
      </w:r>
    </w:p>
    <w:p w:rsidR="00FC71C0" w:rsidRPr="00FC71C0" w:rsidRDefault="002D3090"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50</w:t>
      </w:r>
      <w:r w:rsidRPr="00FC71C0">
        <w:rPr>
          <w:lang w:val="fr-FR"/>
        </w:rPr>
        <w:fldChar w:fldCharType="end"/>
      </w:r>
      <w:r w:rsidRPr="00FC71C0">
        <w:rPr>
          <w:lang w:val="fr-FR"/>
        </w:rPr>
        <w:t>.</w:t>
      </w:r>
      <w:r w:rsidR="00E46CA6" w:rsidRPr="00FC71C0">
        <w:rPr>
          <w:lang w:val="fr-FR"/>
        </w:rPr>
        <w:t>  La Cour note en premier lieu qu</w:t>
      </w:r>
      <w:r w:rsidR="00F20289">
        <w:rPr>
          <w:lang w:val="fr-FR"/>
        </w:rPr>
        <w:t>’</w:t>
      </w:r>
      <w:r w:rsidR="00E46CA6" w:rsidRPr="00FC71C0">
        <w:rPr>
          <w:lang w:val="fr-FR"/>
        </w:rPr>
        <w:t>il n</w:t>
      </w:r>
      <w:r w:rsidR="00F20289">
        <w:rPr>
          <w:lang w:val="fr-FR"/>
        </w:rPr>
        <w:t>’</w:t>
      </w:r>
      <w:r w:rsidR="00E46CA6" w:rsidRPr="00FC71C0">
        <w:rPr>
          <w:lang w:val="fr-FR"/>
        </w:rPr>
        <w:t>est pas contesté en l</w:t>
      </w:r>
      <w:r w:rsidR="00F20289">
        <w:rPr>
          <w:lang w:val="fr-FR"/>
        </w:rPr>
        <w:t>’</w:t>
      </w:r>
      <w:r w:rsidR="00E46CA6" w:rsidRPr="00FC71C0">
        <w:rPr>
          <w:lang w:val="fr-FR"/>
        </w:rPr>
        <w:t>espèce que le lien entre les requérants et M.C. relève de la vie familiale au sens de l</w:t>
      </w:r>
      <w:r w:rsidR="00F20289">
        <w:rPr>
          <w:lang w:val="fr-FR"/>
        </w:rPr>
        <w:t>’</w:t>
      </w:r>
      <w:r w:rsidR="00E46CA6" w:rsidRPr="00FC71C0">
        <w:rPr>
          <w:lang w:val="fr-FR"/>
        </w:rPr>
        <w:t>article</w:t>
      </w:r>
      <w:r w:rsidR="008068D5" w:rsidRPr="00FC71C0">
        <w:rPr>
          <w:lang w:val="fr-FR"/>
        </w:rPr>
        <w:t> </w:t>
      </w:r>
      <w:r w:rsidR="00E46CA6" w:rsidRPr="00FC71C0">
        <w:rPr>
          <w:lang w:val="fr-FR"/>
        </w:rPr>
        <w:t xml:space="preserve">8 de la Convention (voir </w:t>
      </w:r>
      <w:r w:rsidR="00E46CA6" w:rsidRPr="00FC71C0">
        <w:rPr>
          <w:i/>
          <w:lang w:val="fr-FR"/>
        </w:rPr>
        <w:t>Nistor</w:t>
      </w:r>
      <w:r w:rsidR="00E46CA6" w:rsidRPr="00FC71C0">
        <w:rPr>
          <w:lang w:val="fr-FR"/>
        </w:rPr>
        <w:t>, § 93</w:t>
      </w:r>
      <w:r w:rsidR="000016D6" w:rsidRPr="00FC71C0">
        <w:rPr>
          <w:lang w:val="fr-FR"/>
        </w:rPr>
        <w:t>,</w:t>
      </w:r>
      <w:r w:rsidR="00E46CA6" w:rsidRPr="00FC71C0">
        <w:rPr>
          <w:lang w:val="fr-FR"/>
        </w:rPr>
        <w:t xml:space="preserve"> et</w:t>
      </w:r>
      <w:r w:rsidR="00E46CA6" w:rsidRPr="00FC71C0">
        <w:rPr>
          <w:i/>
          <w:lang w:val="fr-FR"/>
        </w:rPr>
        <w:t xml:space="preserve"> Bronda</w:t>
      </w:r>
      <w:r w:rsidR="00E46CA6" w:rsidRPr="00FC71C0">
        <w:rPr>
          <w:lang w:val="fr-FR"/>
        </w:rPr>
        <w:t>,</w:t>
      </w:r>
      <w:r w:rsidR="000016D6" w:rsidRPr="00FC71C0">
        <w:rPr>
          <w:lang w:val="fr-FR"/>
        </w:rPr>
        <w:t xml:space="preserve"> </w:t>
      </w:r>
      <w:r w:rsidR="0047406A" w:rsidRPr="00FC71C0">
        <w:rPr>
          <w:lang w:val="fr-FR"/>
        </w:rPr>
        <w:t>§50</w:t>
      </w:r>
      <w:r w:rsidR="00E46CA6" w:rsidRPr="00FC71C0">
        <w:rPr>
          <w:i/>
          <w:lang w:val="fr-FR"/>
        </w:rPr>
        <w:t xml:space="preserve"> </w:t>
      </w:r>
      <w:r w:rsidR="003F0F60" w:rsidRPr="00FC71C0">
        <w:rPr>
          <w:lang w:val="fr-FR"/>
        </w:rPr>
        <w:t>précités</w:t>
      </w:r>
      <w:r w:rsidR="00E46CA6" w:rsidRPr="00FC71C0">
        <w:rPr>
          <w:lang w:val="fr-FR"/>
        </w:rPr>
        <w:t>)</w:t>
      </w:r>
      <w:r w:rsidR="00A80CC0" w:rsidRPr="00FC71C0">
        <w:rPr>
          <w:lang w:val="fr-FR"/>
        </w:rPr>
        <w:t>.</w:t>
      </w:r>
    </w:p>
    <w:p w:rsidR="00E46CA6" w:rsidRPr="00FC71C0" w:rsidRDefault="009D0D4A"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51</w:t>
      </w:r>
      <w:r w:rsidRPr="00FC71C0">
        <w:rPr>
          <w:lang w:val="fr-FR"/>
        </w:rPr>
        <w:fldChar w:fldCharType="end"/>
      </w:r>
      <w:r w:rsidR="00D67EF4" w:rsidRPr="00FC71C0">
        <w:rPr>
          <w:lang w:val="fr-FR"/>
        </w:rPr>
        <w:t>.  </w:t>
      </w:r>
      <w:r w:rsidR="00E46CA6" w:rsidRPr="00FC71C0">
        <w:rPr>
          <w:lang w:val="fr-FR"/>
        </w:rPr>
        <w:t>La Cour observe ensuite qu</w:t>
      </w:r>
      <w:r w:rsidR="00F20289">
        <w:rPr>
          <w:lang w:val="fr-FR"/>
        </w:rPr>
        <w:t>’</w:t>
      </w:r>
      <w:r w:rsidR="00E46CA6" w:rsidRPr="00FC71C0">
        <w:rPr>
          <w:lang w:val="fr-FR"/>
        </w:rPr>
        <w:t>il ressort clairement des documents en sa possession que la procédure interne concernant le droit de visite des requérants a débuté en 2002 devant le tribunal pour enfants de Turin (</w:t>
      </w:r>
      <w:r w:rsidR="00FD43EA" w:rsidRPr="00FC71C0">
        <w:rPr>
          <w:lang w:val="fr-FR"/>
        </w:rPr>
        <w:t xml:space="preserve">RGNR </w:t>
      </w:r>
      <w:r w:rsidR="00E46CA6" w:rsidRPr="00FC71C0">
        <w:rPr>
          <w:lang w:val="fr-FR"/>
        </w:rPr>
        <w:t>n</w:t>
      </w:r>
      <w:r w:rsidR="00093A1F" w:rsidRPr="00FC71C0">
        <w:rPr>
          <w:vertAlign w:val="superscript"/>
          <w:lang w:val="fr-FR"/>
        </w:rPr>
        <w:t>o</w:t>
      </w:r>
      <w:r w:rsidR="00FC73BD" w:rsidRPr="00FC71C0">
        <w:rPr>
          <w:lang w:val="fr-FR"/>
        </w:rPr>
        <w:t> </w:t>
      </w:r>
      <w:r w:rsidR="00E46CA6" w:rsidRPr="00FC71C0">
        <w:rPr>
          <w:lang w:val="fr-FR"/>
        </w:rPr>
        <w:t>1469/02). Partant</w:t>
      </w:r>
      <w:r w:rsidR="00B05D33" w:rsidRPr="00FC71C0">
        <w:rPr>
          <w:lang w:val="fr-FR"/>
        </w:rPr>
        <w:t>,</w:t>
      </w:r>
      <w:r w:rsidR="00E46CA6" w:rsidRPr="00FC71C0">
        <w:rPr>
          <w:lang w:val="fr-FR"/>
        </w:rPr>
        <w:t xml:space="preserve"> la</w:t>
      </w:r>
      <w:r w:rsidR="00FD43EA" w:rsidRPr="00FC71C0">
        <w:rPr>
          <w:lang w:val="fr-FR"/>
        </w:rPr>
        <w:t xml:space="preserve"> Cour ne partage pas la thèse du</w:t>
      </w:r>
      <w:r w:rsidR="00E46CA6" w:rsidRPr="00FC71C0">
        <w:rPr>
          <w:lang w:val="fr-FR"/>
        </w:rPr>
        <w:t xml:space="preserve"> Gouvernement selon laquelle </w:t>
      </w:r>
      <w:r w:rsidR="005B2D95" w:rsidRPr="00FC71C0">
        <w:rPr>
          <w:lang w:val="fr-FR"/>
        </w:rPr>
        <w:t>la procédure interne devant le t</w:t>
      </w:r>
      <w:r w:rsidR="00E46CA6" w:rsidRPr="00FC71C0">
        <w:rPr>
          <w:lang w:val="fr-FR"/>
        </w:rPr>
        <w:t xml:space="preserve">ribunal </w:t>
      </w:r>
      <w:r w:rsidR="00D10E77" w:rsidRPr="00FC71C0">
        <w:rPr>
          <w:lang w:val="fr-FR"/>
        </w:rPr>
        <w:t>n</w:t>
      </w:r>
      <w:r w:rsidR="00F20289">
        <w:rPr>
          <w:lang w:val="fr-FR"/>
        </w:rPr>
        <w:t>’</w:t>
      </w:r>
      <w:r w:rsidR="00E46CA6" w:rsidRPr="00FC71C0">
        <w:rPr>
          <w:lang w:val="fr-FR"/>
        </w:rPr>
        <w:t xml:space="preserve">aurait commencé </w:t>
      </w:r>
      <w:r w:rsidR="00D10E77" w:rsidRPr="00FC71C0">
        <w:rPr>
          <w:lang w:val="fr-FR"/>
        </w:rPr>
        <w:t>qu</w:t>
      </w:r>
      <w:r w:rsidR="00F20289">
        <w:rPr>
          <w:lang w:val="fr-FR"/>
        </w:rPr>
        <w:t>’</w:t>
      </w:r>
      <w:r w:rsidR="00E46CA6" w:rsidRPr="00FC71C0">
        <w:rPr>
          <w:lang w:val="fr-FR"/>
        </w:rPr>
        <w:t xml:space="preserve">en 2004 (voir </w:t>
      </w:r>
      <w:r w:rsidR="00B05D33" w:rsidRPr="00FC71C0">
        <w:rPr>
          <w:lang w:val="fr-FR"/>
        </w:rPr>
        <w:t>paragraphe</w:t>
      </w:r>
      <w:r w:rsidR="008068D5" w:rsidRPr="00FC71C0">
        <w:rPr>
          <w:lang w:val="fr-FR"/>
        </w:rPr>
        <w:t> </w:t>
      </w:r>
      <w:r w:rsidR="00E46CA6" w:rsidRPr="00FC71C0">
        <w:rPr>
          <w:lang w:val="fr-FR"/>
        </w:rPr>
        <w:t>42 ci-dessus).</w:t>
      </w:r>
    </w:p>
    <w:p w:rsidR="00FC71C0" w:rsidRPr="00FC71C0" w:rsidRDefault="009D0D4A"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52</w:t>
      </w:r>
      <w:r w:rsidRPr="00FC71C0">
        <w:rPr>
          <w:lang w:val="fr-FR"/>
        </w:rPr>
        <w:fldChar w:fldCharType="end"/>
      </w:r>
      <w:r w:rsidRPr="00FC71C0">
        <w:rPr>
          <w:lang w:val="fr-FR"/>
        </w:rPr>
        <w:t>.  </w:t>
      </w:r>
      <w:r w:rsidR="00D67EF4" w:rsidRPr="00FC71C0">
        <w:rPr>
          <w:lang w:val="fr-FR"/>
        </w:rPr>
        <w:t xml:space="preserve">Se penchant sur la présente affaire, la Cour estime que devant les circonstances qui lui sont soumises sa tâche consiste à examiner </w:t>
      </w:r>
      <w:r w:rsidR="008A39D6" w:rsidRPr="00FC71C0">
        <w:rPr>
          <w:lang w:val="fr-FR"/>
        </w:rPr>
        <w:t>si les autorités nationales ont pris toutes les mesures que l</w:t>
      </w:r>
      <w:r w:rsidR="00F20289">
        <w:rPr>
          <w:lang w:val="fr-FR"/>
        </w:rPr>
        <w:t>’</w:t>
      </w:r>
      <w:r w:rsidR="008A39D6" w:rsidRPr="00FC71C0">
        <w:rPr>
          <w:lang w:val="fr-FR"/>
        </w:rPr>
        <w:t>on pouvait raisonnablement exiger d</w:t>
      </w:r>
      <w:r w:rsidR="00F20289">
        <w:rPr>
          <w:lang w:val="fr-FR"/>
        </w:rPr>
        <w:t>’</w:t>
      </w:r>
      <w:r w:rsidR="008A39D6" w:rsidRPr="00FC71C0">
        <w:rPr>
          <w:lang w:val="fr-FR"/>
        </w:rPr>
        <w:t>elles pour maintenir les liens entre les requérants et leur petite</w:t>
      </w:r>
      <w:r w:rsidR="000F384C" w:rsidRPr="00FC71C0">
        <w:rPr>
          <w:lang w:val="fr-FR"/>
        </w:rPr>
        <w:t>-</w:t>
      </w:r>
      <w:r w:rsidR="008A39D6" w:rsidRPr="00FC71C0">
        <w:rPr>
          <w:lang w:val="fr-FR"/>
        </w:rPr>
        <w:t xml:space="preserve">fille et si elles ont </w:t>
      </w:r>
      <w:r w:rsidR="00D10E77" w:rsidRPr="00FC71C0">
        <w:rPr>
          <w:lang w:val="fr-FR"/>
        </w:rPr>
        <w:t xml:space="preserve">ainsi </w:t>
      </w:r>
      <w:r w:rsidR="008A39D6" w:rsidRPr="00FC71C0">
        <w:rPr>
          <w:lang w:val="fr-FR"/>
        </w:rPr>
        <w:t>respecté les obligations positives découlant de l</w:t>
      </w:r>
      <w:r w:rsidR="00F20289">
        <w:rPr>
          <w:lang w:val="fr-FR"/>
        </w:rPr>
        <w:t>’</w:t>
      </w:r>
      <w:r w:rsidR="008A39D6" w:rsidRPr="00FC71C0">
        <w:rPr>
          <w:lang w:val="fr-FR"/>
        </w:rPr>
        <w:t>article</w:t>
      </w:r>
      <w:r w:rsidR="008068D5" w:rsidRPr="00FC71C0">
        <w:rPr>
          <w:lang w:val="fr-FR"/>
        </w:rPr>
        <w:t> </w:t>
      </w:r>
      <w:r w:rsidR="008A39D6" w:rsidRPr="00FC71C0">
        <w:rPr>
          <w:lang w:val="fr-FR"/>
        </w:rPr>
        <w:t>8 de la Convention.</w:t>
      </w:r>
    </w:p>
    <w:p w:rsidR="00C71D55" w:rsidRPr="00FC71C0" w:rsidRDefault="008A39D6"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53</w:t>
      </w:r>
      <w:r w:rsidRPr="00FC71C0">
        <w:rPr>
          <w:lang w:val="fr-FR"/>
        </w:rPr>
        <w:fldChar w:fldCharType="end"/>
      </w:r>
      <w:r w:rsidR="00A91769" w:rsidRPr="00FC71C0">
        <w:rPr>
          <w:lang w:val="fr-FR"/>
        </w:rPr>
        <w:t>.  </w:t>
      </w:r>
      <w:r w:rsidR="00C71D55" w:rsidRPr="00FC71C0">
        <w:rPr>
          <w:lang w:val="fr-FR"/>
        </w:rPr>
        <w:t>La Cour remarque que les requérants n</w:t>
      </w:r>
      <w:r w:rsidR="00F20289">
        <w:rPr>
          <w:lang w:val="fr-FR"/>
        </w:rPr>
        <w:t>’</w:t>
      </w:r>
      <w:r w:rsidR="00C71D55" w:rsidRPr="00FC71C0">
        <w:rPr>
          <w:lang w:val="fr-FR"/>
        </w:rPr>
        <w:t>ont plus vu leur petite-fille depuis 2002 et qu</w:t>
      </w:r>
      <w:r w:rsidR="00F20289">
        <w:rPr>
          <w:lang w:val="fr-FR"/>
        </w:rPr>
        <w:t>’</w:t>
      </w:r>
      <w:r w:rsidR="00C71D55" w:rsidRPr="00FC71C0">
        <w:rPr>
          <w:lang w:val="fr-FR"/>
        </w:rPr>
        <w:t>à ce jour tout contact avec l</w:t>
      </w:r>
      <w:r w:rsidR="00F20289">
        <w:rPr>
          <w:lang w:val="fr-FR"/>
        </w:rPr>
        <w:t>’</w:t>
      </w:r>
      <w:r w:rsidR="00C71D55" w:rsidRPr="00FC71C0">
        <w:rPr>
          <w:lang w:val="fr-FR"/>
        </w:rPr>
        <w:t xml:space="preserve">enfant leur est interdit. À ce propos elle rappelle que, selon les principes élaborés en la matière, des mesures aboutissant à briser les liens entre un enfant et sa famille ne peuvent être appliquées que dans des circonstances exceptionnelles (voir </w:t>
      </w:r>
      <w:r w:rsidR="00C71D55" w:rsidRPr="00FC71C0">
        <w:rPr>
          <w:i/>
          <w:iCs/>
          <w:lang w:val="fr-FR"/>
        </w:rPr>
        <w:t>Zhou c. Italie</w:t>
      </w:r>
      <w:r w:rsidR="00C71D55" w:rsidRPr="00FC71C0">
        <w:rPr>
          <w:lang w:val="fr-FR"/>
        </w:rPr>
        <w:t>, n</w:t>
      </w:r>
      <w:r w:rsidR="00FC71C0" w:rsidRPr="00FC71C0">
        <w:rPr>
          <w:vertAlign w:val="superscript"/>
          <w:lang w:val="fr-FR"/>
        </w:rPr>
        <w:t>o</w:t>
      </w:r>
      <w:r w:rsidR="00C71D55" w:rsidRPr="00FC71C0">
        <w:rPr>
          <w:lang w:val="fr-FR"/>
        </w:rPr>
        <w:t xml:space="preserve"> 33773/11, § 46, 21 janvier 2014 ; </w:t>
      </w:r>
      <w:r w:rsidR="00C71D55" w:rsidRPr="00FC71C0">
        <w:rPr>
          <w:i/>
          <w:iCs/>
          <w:lang w:val="fr-FR"/>
        </w:rPr>
        <w:t>Clemeno et autres c. Italie</w:t>
      </w:r>
      <w:r w:rsidR="00C71D55" w:rsidRPr="00FC71C0">
        <w:rPr>
          <w:lang w:val="fr-FR"/>
        </w:rPr>
        <w:t>, n</w:t>
      </w:r>
      <w:r w:rsidR="00053C1C" w:rsidRPr="00FC71C0">
        <w:rPr>
          <w:lang w:val="fr-FR"/>
        </w:rPr>
        <w:t xml:space="preserve">  </w:t>
      </w:r>
      <w:r w:rsidR="00C71D55" w:rsidRPr="00FC71C0">
        <w:rPr>
          <w:lang w:val="fr-FR"/>
        </w:rPr>
        <w:t>19537/03, § 60, 21 octobre 2008). La Cour estime que ces principes s</w:t>
      </w:r>
      <w:r w:rsidR="00F20289">
        <w:rPr>
          <w:lang w:val="fr-FR"/>
        </w:rPr>
        <w:t>’</w:t>
      </w:r>
      <w:r w:rsidR="00C71D55" w:rsidRPr="00FC71C0">
        <w:rPr>
          <w:lang w:val="fr-FR"/>
        </w:rPr>
        <w:t>appliquent également au cas d</w:t>
      </w:r>
      <w:r w:rsidR="00F20289">
        <w:rPr>
          <w:lang w:val="fr-FR"/>
        </w:rPr>
        <w:t>’</w:t>
      </w:r>
      <w:r w:rsidR="00C71D55" w:rsidRPr="00FC71C0">
        <w:rPr>
          <w:lang w:val="fr-FR"/>
        </w:rPr>
        <w:t>espèce</w:t>
      </w:r>
      <w:r w:rsidR="00F338D1" w:rsidRPr="00FC71C0">
        <w:rPr>
          <w:lang w:val="fr-FR"/>
        </w:rPr>
        <w:t>.</w:t>
      </w:r>
      <w:r w:rsidR="00C71D55" w:rsidRPr="00FC71C0">
        <w:rPr>
          <w:b/>
          <w:lang w:val="fr-FR"/>
        </w:rPr>
        <w:t xml:space="preserve"> </w:t>
      </w:r>
      <w:r w:rsidR="00C71D55" w:rsidRPr="00FC71C0">
        <w:rPr>
          <w:lang w:val="fr-FR"/>
        </w:rPr>
        <w:t>À ce propos, elle rappelle avoir déjà jugé que les liens entre les grands-parents et les petits-fils relèvent de liens familiaux au sens de l</w:t>
      </w:r>
      <w:r w:rsidR="00F20289">
        <w:rPr>
          <w:lang w:val="fr-FR"/>
        </w:rPr>
        <w:t>’</w:t>
      </w:r>
      <w:r w:rsidR="00C71D55" w:rsidRPr="00FC71C0">
        <w:rPr>
          <w:lang w:val="fr-FR"/>
        </w:rPr>
        <w:t xml:space="preserve">article 8 de la Convention (voir </w:t>
      </w:r>
      <w:r w:rsidR="00C71D55" w:rsidRPr="00FC71C0">
        <w:rPr>
          <w:i/>
          <w:iCs/>
          <w:lang w:val="fr-FR"/>
        </w:rPr>
        <w:t>Kruškić c. Croatia</w:t>
      </w:r>
      <w:r w:rsidR="00C71D55" w:rsidRPr="00FC71C0">
        <w:rPr>
          <w:lang w:val="fr-FR"/>
        </w:rPr>
        <w:t xml:space="preserve"> (</w:t>
      </w:r>
      <w:r w:rsidR="005E6042" w:rsidRPr="00FC71C0">
        <w:rPr>
          <w:lang w:val="fr-FR"/>
        </w:rPr>
        <w:t>dé</w:t>
      </w:r>
      <w:r w:rsidR="00C71D55" w:rsidRPr="00FC71C0">
        <w:rPr>
          <w:lang w:val="fr-FR"/>
        </w:rPr>
        <w:t xml:space="preserve">c.), </w:t>
      </w:r>
      <w:r w:rsidR="00F338D1" w:rsidRPr="00FC71C0">
        <w:rPr>
          <w:lang w:val="fr-FR"/>
        </w:rPr>
        <w:t>n</w:t>
      </w:r>
      <w:r w:rsidR="00FC71C0" w:rsidRPr="00FC71C0">
        <w:rPr>
          <w:vertAlign w:val="superscript"/>
          <w:lang w:val="fr-FR"/>
        </w:rPr>
        <w:t>o</w:t>
      </w:r>
      <w:r w:rsidR="00F338D1" w:rsidRPr="00FC71C0">
        <w:rPr>
          <w:lang w:val="fr-FR"/>
        </w:rPr>
        <w:t xml:space="preserve"> </w:t>
      </w:r>
      <w:r w:rsidR="00C71D55" w:rsidRPr="00FC71C0">
        <w:rPr>
          <w:lang w:val="fr-FR"/>
        </w:rPr>
        <w:t>10140/13, 25 November 2014 ;</w:t>
      </w:r>
      <w:r w:rsidR="00C71D55" w:rsidRPr="00FC71C0">
        <w:rPr>
          <w:b/>
          <w:bCs/>
          <w:lang w:val="fr-FR"/>
        </w:rPr>
        <w:t xml:space="preserve"> </w:t>
      </w:r>
      <w:r w:rsidR="00C71D55" w:rsidRPr="00FC71C0">
        <w:rPr>
          <w:i/>
          <w:iCs/>
          <w:lang w:val="fr-FR"/>
        </w:rPr>
        <w:t> Nistor c. Roumanie</w:t>
      </w:r>
      <w:r w:rsidR="00C71D55" w:rsidRPr="00FC71C0">
        <w:rPr>
          <w:lang w:val="fr-FR"/>
        </w:rPr>
        <w:t>, n</w:t>
      </w:r>
      <w:r w:rsidR="00053C1C" w:rsidRPr="00FC71C0">
        <w:rPr>
          <w:lang w:val="fr-FR"/>
        </w:rPr>
        <w:t> </w:t>
      </w:r>
      <w:r w:rsidR="00C71D55" w:rsidRPr="00FC71C0">
        <w:rPr>
          <w:lang w:val="fr-FR"/>
        </w:rPr>
        <w:t xml:space="preserve"> 14565/05, § 71</w:t>
      </w:r>
      <w:r w:rsidR="00FC7914" w:rsidRPr="00FC71C0">
        <w:rPr>
          <w:lang w:val="fr-FR"/>
        </w:rPr>
        <w:t>,</w:t>
      </w:r>
      <w:r w:rsidR="00C71D55" w:rsidRPr="00FC71C0">
        <w:rPr>
          <w:lang w:val="fr-FR"/>
        </w:rPr>
        <w:t xml:space="preserve"> 2 novembre 2010 ; </w:t>
      </w:r>
      <w:r w:rsidR="00C71D55" w:rsidRPr="00FC71C0">
        <w:rPr>
          <w:i/>
          <w:iCs/>
          <w:lang w:val="fr-FR"/>
        </w:rPr>
        <w:t>Bronda c. Italie</w:t>
      </w:r>
      <w:r w:rsidR="00C71D55" w:rsidRPr="00FC71C0">
        <w:rPr>
          <w:lang w:val="fr-FR"/>
        </w:rPr>
        <w:t xml:space="preserve">, 9 juin 1998, </w:t>
      </w:r>
      <w:r w:rsidR="00C71D55" w:rsidRPr="00FC71C0">
        <w:rPr>
          <w:i/>
          <w:iCs/>
          <w:lang w:val="fr-FR"/>
        </w:rPr>
        <w:t>Recueil des arrêts et décisions</w:t>
      </w:r>
      <w:r w:rsidR="00C71D55" w:rsidRPr="00FC71C0">
        <w:rPr>
          <w:lang w:val="fr-FR"/>
        </w:rPr>
        <w:t xml:space="preserve"> 1998</w:t>
      </w:r>
      <w:r w:rsidR="00C71D55" w:rsidRPr="00FC71C0">
        <w:rPr>
          <w:lang w:val="fr-FR"/>
        </w:rPr>
        <w:noBreakHyphen/>
        <w:t>IV).</w:t>
      </w:r>
    </w:p>
    <w:p w:rsidR="00FC71C0" w:rsidRPr="00FC71C0" w:rsidRDefault="0080680A" w:rsidP="00FC71C0">
      <w:pPr>
        <w:pStyle w:val="ECHRPara"/>
        <w:rPr>
          <w:rFonts w:eastAsia="Times New Roman"/>
          <w:lang w:val="fr-FR"/>
        </w:rPr>
      </w:pPr>
      <w:r w:rsidRPr="00FC71C0">
        <w:rPr>
          <w:rFonts w:eastAsia="Times New Roman"/>
          <w:lang w:val="fr-FR"/>
        </w:rPr>
        <w:fldChar w:fldCharType="begin"/>
      </w:r>
      <w:r w:rsidRPr="00FC71C0">
        <w:rPr>
          <w:rFonts w:eastAsia="Times New Roman"/>
          <w:lang w:val="fr-FR"/>
        </w:rPr>
        <w:instrText xml:space="preserve"> SEQ level0 \*arabic </w:instrText>
      </w:r>
      <w:r w:rsidRPr="00FC71C0">
        <w:rPr>
          <w:rFonts w:eastAsia="Times New Roman"/>
          <w:lang w:val="fr-FR"/>
        </w:rPr>
        <w:fldChar w:fldCharType="separate"/>
      </w:r>
      <w:r w:rsidR="00964EA9">
        <w:rPr>
          <w:rFonts w:eastAsia="Times New Roman"/>
          <w:noProof/>
          <w:lang w:val="fr-FR"/>
        </w:rPr>
        <w:t>54</w:t>
      </w:r>
      <w:r w:rsidRPr="00FC71C0">
        <w:rPr>
          <w:rFonts w:eastAsia="Times New Roman"/>
          <w:lang w:val="fr-FR"/>
        </w:rPr>
        <w:fldChar w:fldCharType="end"/>
      </w:r>
      <w:r w:rsidRPr="00FC71C0">
        <w:rPr>
          <w:rFonts w:eastAsia="Times New Roman"/>
          <w:lang w:val="fr-FR"/>
        </w:rPr>
        <w:t>.  </w:t>
      </w:r>
      <w:r w:rsidR="00B62069" w:rsidRPr="00FC71C0">
        <w:rPr>
          <w:rFonts w:eastAsia="Times New Roman"/>
          <w:lang w:val="fr-FR"/>
        </w:rPr>
        <w:t>La Cour note qu</w:t>
      </w:r>
      <w:r w:rsidR="00F20289">
        <w:rPr>
          <w:rFonts w:eastAsia="Times New Roman"/>
          <w:lang w:val="fr-FR"/>
        </w:rPr>
        <w:t>’</w:t>
      </w:r>
      <w:r w:rsidR="00B62069" w:rsidRPr="00FC71C0">
        <w:rPr>
          <w:rFonts w:eastAsia="Times New Roman"/>
          <w:lang w:val="fr-FR"/>
        </w:rPr>
        <w:t>en l</w:t>
      </w:r>
      <w:r w:rsidR="00F20289">
        <w:rPr>
          <w:rFonts w:eastAsia="Times New Roman"/>
          <w:lang w:val="fr-FR"/>
        </w:rPr>
        <w:t>’</w:t>
      </w:r>
      <w:r w:rsidR="00B62069" w:rsidRPr="00FC71C0">
        <w:rPr>
          <w:rFonts w:eastAsia="Times New Roman"/>
          <w:lang w:val="fr-FR"/>
        </w:rPr>
        <w:t xml:space="preserve">espèce </w:t>
      </w:r>
      <w:r w:rsidR="00F45CD4" w:rsidRPr="00FC71C0">
        <w:rPr>
          <w:rFonts w:eastAsia="Times New Roman"/>
          <w:lang w:val="fr-FR"/>
        </w:rPr>
        <w:t>l</w:t>
      </w:r>
      <w:r w:rsidR="00F20289">
        <w:rPr>
          <w:rFonts w:eastAsia="Times New Roman"/>
          <w:lang w:val="fr-FR"/>
        </w:rPr>
        <w:t>’</w:t>
      </w:r>
      <w:r w:rsidR="00F45CD4" w:rsidRPr="00FC71C0">
        <w:rPr>
          <w:rFonts w:eastAsia="Times New Roman"/>
          <w:lang w:val="fr-FR"/>
        </w:rPr>
        <w:t>impossibilité pour les requérants de voir leur petite-fille</w:t>
      </w:r>
      <w:r w:rsidR="00396FA6" w:rsidRPr="00FC71C0">
        <w:rPr>
          <w:rFonts w:eastAsia="Times New Roman"/>
          <w:lang w:val="fr-FR"/>
        </w:rPr>
        <w:t xml:space="preserve"> </w:t>
      </w:r>
      <w:r w:rsidR="009F6664" w:rsidRPr="00FC71C0">
        <w:rPr>
          <w:rFonts w:eastAsia="Times New Roman"/>
          <w:lang w:val="fr-FR"/>
        </w:rPr>
        <w:t>a été la conséquence</w:t>
      </w:r>
      <w:r w:rsidR="00396FA6" w:rsidRPr="00FC71C0">
        <w:rPr>
          <w:rFonts w:eastAsia="Times New Roman"/>
          <w:lang w:val="fr-FR"/>
        </w:rPr>
        <w:t xml:space="preserve">, dans un premier </w:t>
      </w:r>
      <w:r w:rsidR="00F45CD4" w:rsidRPr="00FC71C0">
        <w:rPr>
          <w:rFonts w:eastAsia="Times New Roman"/>
          <w:lang w:val="fr-FR"/>
        </w:rPr>
        <w:t>temps</w:t>
      </w:r>
      <w:r w:rsidR="00396FA6" w:rsidRPr="00FC71C0">
        <w:rPr>
          <w:rFonts w:eastAsia="Times New Roman"/>
          <w:lang w:val="fr-FR"/>
        </w:rPr>
        <w:t xml:space="preserve">, </w:t>
      </w:r>
      <w:r w:rsidR="005A2998" w:rsidRPr="00FC71C0">
        <w:rPr>
          <w:rFonts w:eastAsia="Times New Roman"/>
          <w:lang w:val="fr-FR"/>
        </w:rPr>
        <w:t xml:space="preserve">du manque de diligence </w:t>
      </w:r>
      <w:r w:rsidR="00396FA6" w:rsidRPr="00FC71C0">
        <w:rPr>
          <w:rFonts w:eastAsia="Times New Roman"/>
          <w:lang w:val="fr-FR"/>
        </w:rPr>
        <w:t xml:space="preserve">des </w:t>
      </w:r>
      <w:r w:rsidR="009F6664" w:rsidRPr="00FC71C0">
        <w:rPr>
          <w:rFonts w:eastAsia="Times New Roman"/>
          <w:lang w:val="fr-FR"/>
        </w:rPr>
        <w:t>autorités compétentes et</w:t>
      </w:r>
      <w:r w:rsidR="00396FA6" w:rsidRPr="00FC71C0">
        <w:rPr>
          <w:rFonts w:eastAsia="Times New Roman"/>
          <w:lang w:val="fr-FR"/>
        </w:rPr>
        <w:t xml:space="preserve">, dans un deuxième temps, de </w:t>
      </w:r>
      <w:r w:rsidR="009F6664" w:rsidRPr="00FC71C0">
        <w:rPr>
          <w:rFonts w:eastAsia="Times New Roman"/>
          <w:lang w:val="fr-FR"/>
        </w:rPr>
        <w:t xml:space="preserve">la décision de suspendre les rencontres. </w:t>
      </w:r>
      <w:r w:rsidR="00E03E27" w:rsidRPr="00FC71C0">
        <w:rPr>
          <w:rFonts w:eastAsia="Times New Roman"/>
          <w:lang w:val="fr-FR"/>
        </w:rPr>
        <w:t xml:space="preserve">Les requérants </w:t>
      </w:r>
      <w:r w:rsidR="00C2124F" w:rsidRPr="00FC71C0">
        <w:rPr>
          <w:rFonts w:eastAsia="Times New Roman"/>
          <w:lang w:val="fr-FR"/>
        </w:rPr>
        <w:t>n</w:t>
      </w:r>
      <w:r w:rsidR="00F20289">
        <w:rPr>
          <w:rFonts w:eastAsia="Times New Roman"/>
          <w:lang w:val="fr-FR"/>
        </w:rPr>
        <w:t>’</w:t>
      </w:r>
      <w:r w:rsidR="00C2124F" w:rsidRPr="00FC71C0">
        <w:rPr>
          <w:rFonts w:eastAsia="Times New Roman"/>
          <w:lang w:val="fr-FR"/>
        </w:rPr>
        <w:t>ont pu ni</w:t>
      </w:r>
      <w:r w:rsidR="00EE09E4" w:rsidRPr="00FC71C0">
        <w:rPr>
          <w:rFonts w:eastAsia="Times New Roman"/>
          <w:lang w:val="fr-FR"/>
        </w:rPr>
        <w:t xml:space="preserve"> obtenir la mise en œuvre, dans un délai raisonnable, d</w:t>
      </w:r>
      <w:r w:rsidR="00F20289">
        <w:rPr>
          <w:rFonts w:eastAsia="Times New Roman"/>
          <w:lang w:val="fr-FR"/>
        </w:rPr>
        <w:t>’</w:t>
      </w:r>
      <w:r w:rsidR="00EE09E4" w:rsidRPr="00FC71C0">
        <w:rPr>
          <w:rFonts w:eastAsia="Times New Roman"/>
          <w:lang w:val="fr-FR"/>
        </w:rPr>
        <w:t xml:space="preserve">un parcours de rapprochement </w:t>
      </w:r>
      <w:r w:rsidR="00C2124F" w:rsidRPr="00FC71C0">
        <w:rPr>
          <w:rFonts w:eastAsia="Times New Roman"/>
          <w:lang w:val="fr-FR"/>
        </w:rPr>
        <w:t>avec leur petite-fille</w:t>
      </w:r>
      <w:r w:rsidR="00FD43EA" w:rsidRPr="00FC71C0">
        <w:rPr>
          <w:rFonts w:eastAsia="Times New Roman"/>
          <w:lang w:val="fr-FR"/>
        </w:rPr>
        <w:t>,</w:t>
      </w:r>
      <w:r w:rsidR="00EE09E4" w:rsidRPr="00FC71C0">
        <w:rPr>
          <w:rFonts w:eastAsia="Times New Roman"/>
          <w:lang w:val="fr-FR"/>
        </w:rPr>
        <w:t xml:space="preserve"> </w:t>
      </w:r>
      <w:r w:rsidR="00C2124F" w:rsidRPr="00FC71C0">
        <w:rPr>
          <w:rFonts w:eastAsia="Times New Roman"/>
          <w:lang w:val="fr-FR"/>
        </w:rPr>
        <w:t>ni</w:t>
      </w:r>
      <w:r w:rsidR="00EE09E4" w:rsidRPr="00FC71C0">
        <w:rPr>
          <w:rFonts w:eastAsia="Times New Roman"/>
          <w:lang w:val="fr-FR"/>
        </w:rPr>
        <w:t xml:space="preserve"> faire respe</w:t>
      </w:r>
      <w:r w:rsidR="00C2124F" w:rsidRPr="00FC71C0">
        <w:rPr>
          <w:rFonts w:eastAsia="Times New Roman"/>
          <w:lang w:val="fr-FR"/>
        </w:rPr>
        <w:t xml:space="preserve">cter leur droit de visite, tel </w:t>
      </w:r>
      <w:r w:rsidR="00B05D33" w:rsidRPr="00FC71C0">
        <w:rPr>
          <w:rFonts w:eastAsia="Times New Roman"/>
          <w:lang w:val="fr-FR"/>
        </w:rPr>
        <w:t>qu</w:t>
      </w:r>
      <w:r w:rsidR="00F20289">
        <w:rPr>
          <w:rFonts w:eastAsia="Times New Roman"/>
          <w:lang w:val="fr-FR"/>
        </w:rPr>
        <w:t>’</w:t>
      </w:r>
      <w:r w:rsidR="00B05D33" w:rsidRPr="00FC71C0">
        <w:rPr>
          <w:rFonts w:eastAsia="Times New Roman"/>
          <w:lang w:val="fr-FR"/>
        </w:rPr>
        <w:t xml:space="preserve">il </w:t>
      </w:r>
      <w:r w:rsidR="00C2124F" w:rsidRPr="00FC71C0">
        <w:rPr>
          <w:rFonts w:eastAsia="Times New Roman"/>
          <w:lang w:val="fr-FR"/>
        </w:rPr>
        <w:t>avait été reconnu</w:t>
      </w:r>
      <w:r w:rsidR="00EE09E4" w:rsidRPr="00FC71C0">
        <w:rPr>
          <w:rFonts w:eastAsia="Times New Roman"/>
          <w:lang w:val="fr-FR"/>
        </w:rPr>
        <w:t xml:space="preserve"> par la décision du tribunal du 16 février 2006.</w:t>
      </w:r>
    </w:p>
    <w:p w:rsidR="00F215F6" w:rsidRPr="00FC71C0" w:rsidRDefault="00F215F6" w:rsidP="00FC71C0">
      <w:pPr>
        <w:pStyle w:val="ECHRPara"/>
        <w:rPr>
          <w:snapToGrid w:val="0"/>
          <w:szCs w:val="24"/>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55</w:t>
      </w:r>
      <w:r w:rsidRPr="00FC71C0">
        <w:rPr>
          <w:lang w:val="fr-FR"/>
        </w:rPr>
        <w:fldChar w:fldCharType="end"/>
      </w:r>
      <w:r w:rsidRPr="00FC71C0">
        <w:rPr>
          <w:lang w:val="fr-FR"/>
        </w:rPr>
        <w:t xml:space="preserve">.  La Cour observe que </w:t>
      </w:r>
      <w:r w:rsidR="00F45CD4" w:rsidRPr="00FC71C0">
        <w:rPr>
          <w:lang w:val="fr-FR"/>
        </w:rPr>
        <w:t>ce n</w:t>
      </w:r>
      <w:r w:rsidR="00F20289">
        <w:rPr>
          <w:lang w:val="fr-FR"/>
        </w:rPr>
        <w:t>’</w:t>
      </w:r>
      <w:r w:rsidR="00F45CD4" w:rsidRPr="00FC71C0">
        <w:rPr>
          <w:lang w:val="fr-FR"/>
        </w:rPr>
        <w:t>est qu</w:t>
      </w:r>
      <w:r w:rsidR="00F20289">
        <w:rPr>
          <w:lang w:val="fr-FR"/>
        </w:rPr>
        <w:t>’</w:t>
      </w:r>
      <w:r w:rsidR="00E21CF3" w:rsidRPr="00FC71C0">
        <w:rPr>
          <w:lang w:val="fr-FR"/>
        </w:rPr>
        <w:t>en</w:t>
      </w:r>
      <w:r w:rsidRPr="00FC71C0">
        <w:rPr>
          <w:lang w:val="fr-FR"/>
        </w:rPr>
        <w:t xml:space="preserve"> décembre 2005, </w:t>
      </w:r>
      <w:r w:rsidR="00F45CD4" w:rsidRPr="00FC71C0">
        <w:rPr>
          <w:lang w:val="fr-FR"/>
        </w:rPr>
        <w:t>soit</w:t>
      </w:r>
      <w:r w:rsidRPr="00FC71C0">
        <w:rPr>
          <w:lang w:val="fr-FR"/>
        </w:rPr>
        <w:t xml:space="preserve"> trois ans après l</w:t>
      </w:r>
      <w:r w:rsidR="00C2124F" w:rsidRPr="00FC71C0">
        <w:rPr>
          <w:lang w:val="fr-FR"/>
        </w:rPr>
        <w:t xml:space="preserve">a demande des requérants </w:t>
      </w:r>
      <w:r w:rsidR="00F45CD4" w:rsidRPr="00FC71C0">
        <w:rPr>
          <w:lang w:val="fr-FR"/>
        </w:rPr>
        <w:t xml:space="preserve">aux fins </w:t>
      </w:r>
      <w:r w:rsidR="00C2124F" w:rsidRPr="00FC71C0">
        <w:rPr>
          <w:lang w:val="fr-FR"/>
        </w:rPr>
        <w:t>de rencontrer leur petite-fille</w:t>
      </w:r>
      <w:r w:rsidR="00F45CD4" w:rsidRPr="00FC71C0">
        <w:rPr>
          <w:lang w:val="fr-FR"/>
        </w:rPr>
        <w:t>, que le tribunal des enfants de Turin est parvenu à une décision concernant l</w:t>
      </w:r>
      <w:r w:rsidR="00F20289">
        <w:rPr>
          <w:lang w:val="fr-FR"/>
        </w:rPr>
        <w:t>’</w:t>
      </w:r>
      <w:r w:rsidR="00F45CD4" w:rsidRPr="00FC71C0">
        <w:rPr>
          <w:lang w:val="fr-FR"/>
        </w:rPr>
        <w:t>autorisation des rencontres</w:t>
      </w:r>
      <w:r w:rsidRPr="00FC71C0">
        <w:rPr>
          <w:lang w:val="fr-FR"/>
        </w:rPr>
        <w:t>. Elle souligne aussi qu</w:t>
      </w:r>
      <w:r w:rsidR="00F20289">
        <w:rPr>
          <w:lang w:val="fr-FR"/>
        </w:rPr>
        <w:t>’</w:t>
      </w:r>
      <w:r w:rsidR="00C2124F" w:rsidRPr="00FC71C0">
        <w:rPr>
          <w:lang w:val="fr-FR"/>
        </w:rPr>
        <w:t xml:space="preserve">entre 2005 et 2007 </w:t>
      </w:r>
      <w:r w:rsidRPr="00FC71C0">
        <w:rPr>
          <w:lang w:val="fr-FR"/>
        </w:rPr>
        <w:t>les services sociaux n</w:t>
      </w:r>
      <w:r w:rsidR="00F20289">
        <w:rPr>
          <w:lang w:val="fr-FR"/>
        </w:rPr>
        <w:t>’</w:t>
      </w:r>
      <w:r w:rsidRPr="00FC71C0">
        <w:rPr>
          <w:lang w:val="fr-FR"/>
        </w:rPr>
        <w:t>ont pas donné exécution à la décision du tribunal autorisant les rencontres et qu</w:t>
      </w:r>
      <w:r w:rsidR="00F20289">
        <w:rPr>
          <w:lang w:val="fr-FR"/>
        </w:rPr>
        <w:t>’</w:t>
      </w:r>
      <w:r w:rsidRPr="00FC71C0">
        <w:rPr>
          <w:lang w:val="fr-FR"/>
        </w:rPr>
        <w:t xml:space="preserve">aucune mesure visant à </w:t>
      </w:r>
      <w:r w:rsidR="00C2124F" w:rsidRPr="00FC71C0">
        <w:rPr>
          <w:lang w:val="fr-FR"/>
        </w:rPr>
        <w:t xml:space="preserve">mettre en œuvre le droit de visite des requérants </w:t>
      </w:r>
      <w:r w:rsidRPr="00FC71C0">
        <w:rPr>
          <w:lang w:val="fr-FR"/>
        </w:rPr>
        <w:t>n</w:t>
      </w:r>
      <w:r w:rsidR="00F20289">
        <w:rPr>
          <w:lang w:val="fr-FR"/>
        </w:rPr>
        <w:t>’</w:t>
      </w:r>
      <w:r w:rsidRPr="00FC71C0">
        <w:rPr>
          <w:lang w:val="fr-FR"/>
        </w:rPr>
        <w:t>a été prise en l</w:t>
      </w:r>
      <w:r w:rsidR="00F20289">
        <w:rPr>
          <w:lang w:val="fr-FR"/>
        </w:rPr>
        <w:t>’</w:t>
      </w:r>
      <w:r w:rsidRPr="00FC71C0">
        <w:rPr>
          <w:lang w:val="fr-FR"/>
        </w:rPr>
        <w:t>espèce. La</w:t>
      </w:r>
      <w:r w:rsidR="00B83DE6" w:rsidRPr="00FC71C0">
        <w:rPr>
          <w:lang w:val="fr-FR"/>
        </w:rPr>
        <w:t xml:space="preserve"> Cour rappelle sa jurisprudence selon laquelle les obligations positives découlant de l</w:t>
      </w:r>
      <w:r w:rsidR="00F20289">
        <w:rPr>
          <w:lang w:val="fr-FR"/>
        </w:rPr>
        <w:t>’</w:t>
      </w:r>
      <w:r w:rsidR="00B83DE6" w:rsidRPr="00FC71C0">
        <w:rPr>
          <w:lang w:val="fr-FR"/>
        </w:rPr>
        <w:t>article</w:t>
      </w:r>
      <w:r w:rsidR="008068D5" w:rsidRPr="00FC71C0">
        <w:rPr>
          <w:lang w:val="fr-FR"/>
        </w:rPr>
        <w:t> </w:t>
      </w:r>
      <w:r w:rsidR="00B83DE6" w:rsidRPr="00FC71C0">
        <w:rPr>
          <w:lang w:val="fr-FR"/>
        </w:rPr>
        <w:t>8 de la Convention imposent à l</w:t>
      </w:r>
      <w:r w:rsidR="00F20289">
        <w:rPr>
          <w:lang w:val="fr-FR"/>
        </w:rPr>
        <w:t>’</w:t>
      </w:r>
      <w:r w:rsidR="00B83DE6" w:rsidRPr="00FC71C0">
        <w:rPr>
          <w:lang w:val="fr-FR"/>
        </w:rPr>
        <w:t>État d</w:t>
      </w:r>
      <w:r w:rsidR="00F20289">
        <w:rPr>
          <w:lang w:val="fr-FR"/>
        </w:rPr>
        <w:t>’</w:t>
      </w:r>
      <w:r w:rsidR="00B83DE6" w:rsidRPr="00FC71C0">
        <w:rPr>
          <w:lang w:val="fr-FR"/>
        </w:rPr>
        <w:t>adopter des mesures propres à réunir les parents et l</w:t>
      </w:r>
      <w:r w:rsidR="00F20289">
        <w:rPr>
          <w:lang w:val="fr-FR"/>
        </w:rPr>
        <w:t>’</w:t>
      </w:r>
      <w:r w:rsidR="00B83DE6" w:rsidRPr="00FC71C0">
        <w:rPr>
          <w:lang w:val="fr-FR"/>
        </w:rPr>
        <w:t>enfant</w:t>
      </w:r>
      <w:r w:rsidR="009D24A6" w:rsidRPr="00FC71C0">
        <w:rPr>
          <w:lang w:val="fr-FR"/>
        </w:rPr>
        <w:t xml:space="preserve">, sachant par ailleurs que </w:t>
      </w:r>
      <w:r w:rsidR="00B83DE6" w:rsidRPr="00FC71C0">
        <w:rPr>
          <w:lang w:val="fr-FR"/>
        </w:rPr>
        <w:t>le caractère adéquat d</w:t>
      </w:r>
      <w:r w:rsidR="00F20289">
        <w:rPr>
          <w:lang w:val="fr-FR"/>
        </w:rPr>
        <w:t>’</w:t>
      </w:r>
      <w:r w:rsidR="00B83DE6" w:rsidRPr="00FC71C0">
        <w:rPr>
          <w:lang w:val="fr-FR"/>
        </w:rPr>
        <w:t>une mesure se juge aussi à la rapidité de sa mise en œuvre (</w:t>
      </w:r>
      <w:r w:rsidR="00F4332A" w:rsidRPr="00FC71C0">
        <w:rPr>
          <w:i/>
          <w:lang w:val="fr-FR"/>
        </w:rPr>
        <w:t>Nicolò Santilli</w:t>
      </w:r>
      <w:r w:rsidR="00F4332A" w:rsidRPr="00FC71C0">
        <w:rPr>
          <w:snapToGrid w:val="0"/>
          <w:lang w:val="fr-FR"/>
        </w:rPr>
        <w:t>, § 71,</w:t>
      </w:r>
      <w:r w:rsidR="00C2124F" w:rsidRPr="00FC71C0">
        <w:rPr>
          <w:snapToGrid w:val="0"/>
          <w:lang w:val="fr-FR"/>
        </w:rPr>
        <w:t xml:space="preserve"> </w:t>
      </w:r>
      <w:r w:rsidR="00F4332A" w:rsidRPr="00FC71C0">
        <w:rPr>
          <w:i/>
          <w:lang w:val="fr-FR"/>
        </w:rPr>
        <w:t>Lombardo</w:t>
      </w:r>
      <w:r w:rsidR="00F4332A" w:rsidRPr="00FC71C0">
        <w:rPr>
          <w:lang w:val="fr-FR"/>
        </w:rPr>
        <w:t>, §</w:t>
      </w:r>
      <w:r w:rsidR="008068D5" w:rsidRPr="00FC71C0">
        <w:rPr>
          <w:lang w:val="fr-FR"/>
        </w:rPr>
        <w:t> </w:t>
      </w:r>
      <w:r w:rsidR="00F4332A" w:rsidRPr="00FC71C0">
        <w:rPr>
          <w:lang w:val="fr-FR"/>
        </w:rPr>
        <w:t>89</w:t>
      </w:r>
      <w:r w:rsidR="00C2124F" w:rsidRPr="00FC71C0">
        <w:rPr>
          <w:lang w:val="fr-FR"/>
        </w:rPr>
        <w:t>, précités</w:t>
      </w:r>
      <w:r w:rsidR="008068D5" w:rsidRPr="00FC71C0">
        <w:rPr>
          <w:lang w:val="fr-FR"/>
        </w:rPr>
        <w:t> </w:t>
      </w:r>
      <w:r w:rsidR="00F4332A" w:rsidRPr="00FC71C0">
        <w:rPr>
          <w:lang w:val="fr-FR"/>
        </w:rPr>
        <w:t xml:space="preserve">; </w:t>
      </w:r>
      <w:r w:rsidR="00F4332A" w:rsidRPr="00FC71C0">
        <w:rPr>
          <w:i/>
          <w:lang w:val="fr-FR"/>
        </w:rPr>
        <w:t>Piazzi c. Italie</w:t>
      </w:r>
      <w:r w:rsidR="00F4332A" w:rsidRPr="00FC71C0">
        <w:rPr>
          <w:lang w:val="fr-FR"/>
        </w:rPr>
        <w:t>, n</w:t>
      </w:r>
      <w:r w:rsidR="00F4332A" w:rsidRPr="00FC71C0">
        <w:rPr>
          <w:vertAlign w:val="superscript"/>
          <w:lang w:val="fr-FR"/>
        </w:rPr>
        <w:t>o</w:t>
      </w:r>
      <w:r w:rsidR="008068D5" w:rsidRPr="00FC71C0">
        <w:rPr>
          <w:lang w:val="fr-FR"/>
        </w:rPr>
        <w:t> </w:t>
      </w:r>
      <w:r w:rsidR="00F4332A" w:rsidRPr="00FC71C0">
        <w:rPr>
          <w:lang w:val="fr-FR"/>
        </w:rPr>
        <w:t>36168/09</w:t>
      </w:r>
      <w:r w:rsidR="00F4332A" w:rsidRPr="00FC71C0">
        <w:rPr>
          <w:snapToGrid w:val="0"/>
          <w:szCs w:val="24"/>
          <w:lang w:val="fr-FR"/>
        </w:rPr>
        <w:t xml:space="preserve">, § 78, 2 </w:t>
      </w:r>
      <w:r w:rsidR="00F4332A" w:rsidRPr="00FC71C0">
        <w:rPr>
          <w:szCs w:val="24"/>
          <w:lang w:val="fr-FR"/>
        </w:rPr>
        <w:t>novembre</w:t>
      </w:r>
      <w:r w:rsidR="00F4332A" w:rsidRPr="00FC71C0">
        <w:rPr>
          <w:snapToGrid w:val="0"/>
          <w:szCs w:val="24"/>
          <w:lang w:val="fr-FR"/>
        </w:rPr>
        <w:t xml:space="preserve"> 2010).</w:t>
      </w:r>
    </w:p>
    <w:p w:rsidR="00FC71C0" w:rsidRPr="00FC71C0" w:rsidRDefault="00967AA6" w:rsidP="00FC71C0">
      <w:pPr>
        <w:pStyle w:val="ECHRPara"/>
        <w:rPr>
          <w:lang w:val="fr-FR"/>
        </w:rPr>
      </w:pPr>
      <w:r w:rsidRPr="00FC71C0">
        <w:rPr>
          <w:snapToGrid w:val="0"/>
          <w:szCs w:val="24"/>
          <w:lang w:val="fr-FR"/>
        </w:rPr>
        <w:fldChar w:fldCharType="begin"/>
      </w:r>
      <w:r w:rsidRPr="00FC71C0">
        <w:rPr>
          <w:snapToGrid w:val="0"/>
          <w:szCs w:val="24"/>
          <w:lang w:val="fr-FR"/>
        </w:rPr>
        <w:instrText xml:space="preserve"> SEQ level0 \*arabic </w:instrText>
      </w:r>
      <w:r w:rsidRPr="00FC71C0">
        <w:rPr>
          <w:snapToGrid w:val="0"/>
          <w:szCs w:val="24"/>
          <w:lang w:val="fr-FR"/>
        </w:rPr>
        <w:fldChar w:fldCharType="separate"/>
      </w:r>
      <w:r w:rsidR="00964EA9">
        <w:rPr>
          <w:noProof/>
          <w:snapToGrid w:val="0"/>
          <w:szCs w:val="24"/>
          <w:lang w:val="fr-FR"/>
        </w:rPr>
        <w:t>56</w:t>
      </w:r>
      <w:r w:rsidRPr="00FC71C0">
        <w:rPr>
          <w:snapToGrid w:val="0"/>
          <w:szCs w:val="24"/>
          <w:lang w:val="fr-FR"/>
        </w:rPr>
        <w:fldChar w:fldCharType="end"/>
      </w:r>
      <w:r w:rsidRPr="00FC71C0">
        <w:rPr>
          <w:snapToGrid w:val="0"/>
          <w:szCs w:val="24"/>
          <w:lang w:val="fr-FR"/>
        </w:rPr>
        <w:t>.  </w:t>
      </w:r>
      <w:r w:rsidR="006B6D95" w:rsidRPr="00FC71C0">
        <w:rPr>
          <w:snapToGrid w:val="0"/>
          <w:szCs w:val="24"/>
          <w:lang w:val="fr-FR"/>
        </w:rPr>
        <w:t>La Cour observe que l</w:t>
      </w:r>
      <w:r w:rsidR="00396FA6" w:rsidRPr="00FC71C0">
        <w:rPr>
          <w:snapToGrid w:val="0"/>
          <w:szCs w:val="24"/>
          <w:lang w:val="fr-FR"/>
        </w:rPr>
        <w:t xml:space="preserve">a </w:t>
      </w:r>
      <w:r w:rsidR="00C2124F" w:rsidRPr="00FC71C0">
        <w:rPr>
          <w:snapToGrid w:val="0"/>
          <w:szCs w:val="24"/>
          <w:lang w:val="fr-FR"/>
        </w:rPr>
        <w:t>décision de suspendre</w:t>
      </w:r>
      <w:r w:rsidR="00396FA6" w:rsidRPr="00FC71C0">
        <w:rPr>
          <w:snapToGrid w:val="0"/>
          <w:szCs w:val="24"/>
          <w:lang w:val="fr-FR"/>
        </w:rPr>
        <w:t xml:space="preserve"> </w:t>
      </w:r>
      <w:r w:rsidR="00C2124F" w:rsidRPr="00FC71C0">
        <w:rPr>
          <w:snapToGrid w:val="0"/>
          <w:szCs w:val="24"/>
          <w:lang w:val="fr-FR"/>
        </w:rPr>
        <w:t>l</w:t>
      </w:r>
      <w:r w:rsidR="006B6D95" w:rsidRPr="00FC71C0">
        <w:rPr>
          <w:snapToGrid w:val="0"/>
          <w:szCs w:val="24"/>
          <w:lang w:val="fr-FR"/>
        </w:rPr>
        <w:t>es rencontres entre les requérants et l</w:t>
      </w:r>
      <w:r w:rsidR="00F20289">
        <w:rPr>
          <w:snapToGrid w:val="0"/>
          <w:szCs w:val="24"/>
          <w:lang w:val="fr-FR"/>
        </w:rPr>
        <w:t>’</w:t>
      </w:r>
      <w:r w:rsidR="006B6D95" w:rsidRPr="00FC71C0">
        <w:rPr>
          <w:snapToGrid w:val="0"/>
          <w:szCs w:val="24"/>
          <w:lang w:val="fr-FR"/>
        </w:rPr>
        <w:t xml:space="preserve">enfant </w:t>
      </w:r>
      <w:r w:rsidR="00EC20B7" w:rsidRPr="00FC71C0">
        <w:rPr>
          <w:snapToGrid w:val="0"/>
          <w:szCs w:val="24"/>
          <w:lang w:val="fr-FR"/>
        </w:rPr>
        <w:t>fut fondée</w:t>
      </w:r>
      <w:r w:rsidR="006B6D95" w:rsidRPr="00FC71C0">
        <w:rPr>
          <w:snapToGrid w:val="0"/>
          <w:szCs w:val="24"/>
          <w:lang w:val="fr-FR"/>
        </w:rPr>
        <w:t xml:space="preserve"> </w:t>
      </w:r>
      <w:r w:rsidR="009A266B" w:rsidRPr="00FC71C0">
        <w:rPr>
          <w:snapToGrid w:val="0"/>
          <w:szCs w:val="24"/>
          <w:lang w:val="fr-FR"/>
        </w:rPr>
        <w:t>exclusivement</w:t>
      </w:r>
      <w:r w:rsidR="006B6D95" w:rsidRPr="00FC71C0">
        <w:rPr>
          <w:snapToGrid w:val="0"/>
          <w:szCs w:val="24"/>
          <w:lang w:val="fr-FR"/>
        </w:rPr>
        <w:t xml:space="preserve"> sur </w:t>
      </w:r>
      <w:r w:rsidR="00A46340" w:rsidRPr="00FC71C0">
        <w:rPr>
          <w:snapToGrid w:val="0"/>
          <w:szCs w:val="24"/>
          <w:lang w:val="fr-FR"/>
        </w:rPr>
        <w:t xml:space="preserve">les rapports des psychologues </w:t>
      </w:r>
      <w:r w:rsidR="006B6D95" w:rsidRPr="00FC71C0">
        <w:rPr>
          <w:lang w:val="fr-FR"/>
        </w:rPr>
        <w:t>selon lesquels l</w:t>
      </w:r>
      <w:r w:rsidR="00F20289">
        <w:rPr>
          <w:lang w:val="fr-FR"/>
        </w:rPr>
        <w:t>’</w:t>
      </w:r>
      <w:r w:rsidR="006B6D95" w:rsidRPr="00FC71C0">
        <w:rPr>
          <w:lang w:val="fr-FR"/>
        </w:rPr>
        <w:t xml:space="preserve">enfant associait </w:t>
      </w:r>
      <w:r w:rsidR="009939AA" w:rsidRPr="00FC71C0">
        <w:rPr>
          <w:lang w:val="fr-FR"/>
        </w:rPr>
        <w:t xml:space="preserve">ses </w:t>
      </w:r>
      <w:r w:rsidR="006B6D95" w:rsidRPr="00FC71C0">
        <w:rPr>
          <w:lang w:val="fr-FR"/>
        </w:rPr>
        <w:t>grands-parents à son père et aux souffrances subies en raison des prétendus attouchements sexuels.</w:t>
      </w:r>
    </w:p>
    <w:p w:rsidR="006D64DD" w:rsidRPr="00FC71C0" w:rsidRDefault="00451ED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57</w:t>
      </w:r>
      <w:r w:rsidRPr="00FC71C0">
        <w:rPr>
          <w:lang w:val="fr-FR"/>
        </w:rPr>
        <w:fldChar w:fldCharType="end"/>
      </w:r>
      <w:r w:rsidRPr="00FC71C0">
        <w:rPr>
          <w:lang w:val="fr-FR"/>
        </w:rPr>
        <w:t>.  La Cour relève que l</w:t>
      </w:r>
      <w:r w:rsidR="00F20289">
        <w:rPr>
          <w:lang w:val="fr-FR"/>
        </w:rPr>
        <w:t>’</w:t>
      </w:r>
      <w:r w:rsidRPr="00FC71C0">
        <w:rPr>
          <w:lang w:val="fr-FR"/>
        </w:rPr>
        <w:t>interdiction des rencontres s</w:t>
      </w:r>
      <w:r w:rsidR="00F20289">
        <w:rPr>
          <w:lang w:val="fr-FR"/>
        </w:rPr>
        <w:t>’</w:t>
      </w:r>
      <w:r w:rsidRPr="00FC71C0">
        <w:rPr>
          <w:lang w:val="fr-FR"/>
        </w:rPr>
        <w:t>inscrit dans les démarches que les autorités sont en droit d</w:t>
      </w:r>
      <w:r w:rsidR="00F20289">
        <w:rPr>
          <w:lang w:val="fr-FR"/>
        </w:rPr>
        <w:t>’</w:t>
      </w:r>
      <w:r w:rsidRPr="00FC71C0">
        <w:rPr>
          <w:lang w:val="fr-FR"/>
        </w:rPr>
        <w:t>entreprendre dans les affaires de sévices sexuels et rappelle que l</w:t>
      </w:r>
      <w:r w:rsidR="00F20289">
        <w:rPr>
          <w:lang w:val="fr-FR"/>
        </w:rPr>
        <w:t>’</w:t>
      </w:r>
      <w:r w:rsidRPr="00FC71C0">
        <w:rPr>
          <w:lang w:val="fr-FR"/>
        </w:rPr>
        <w:t>État a l</w:t>
      </w:r>
      <w:r w:rsidR="00F20289">
        <w:rPr>
          <w:lang w:val="fr-FR"/>
        </w:rPr>
        <w:t>’</w:t>
      </w:r>
      <w:r w:rsidRPr="00FC71C0">
        <w:rPr>
          <w:lang w:val="fr-FR"/>
        </w:rPr>
        <w:t>obligation de protéger les enfants de toute ingérence dans des aspects essentiels de leur vie privée (</w:t>
      </w:r>
      <w:r w:rsidRPr="00FC71C0">
        <w:rPr>
          <w:i/>
          <w:lang w:val="fr-FR"/>
        </w:rPr>
        <w:t>Covezzi  et Morselli c. Italie</w:t>
      </w:r>
      <w:r w:rsidRPr="00FC71C0">
        <w:rPr>
          <w:lang w:val="fr-FR"/>
        </w:rPr>
        <w:t>, n</w:t>
      </w:r>
      <w:r w:rsidR="00093A1F" w:rsidRPr="00FC71C0">
        <w:rPr>
          <w:vertAlign w:val="superscript"/>
          <w:lang w:val="fr-FR"/>
        </w:rPr>
        <w:t>o</w:t>
      </w:r>
      <w:r w:rsidRPr="00FC71C0">
        <w:rPr>
          <w:lang w:val="fr-FR"/>
        </w:rPr>
        <w:t xml:space="preserve"> 52763/99, § 103, 9 mai 2003 ; </w:t>
      </w:r>
      <w:r w:rsidRPr="00FC71C0">
        <w:rPr>
          <w:i/>
          <w:lang w:val="fr-FR"/>
        </w:rPr>
        <w:t>Stubbings et autres c. Royaume-Uni</w:t>
      </w:r>
      <w:r w:rsidRPr="00FC71C0">
        <w:rPr>
          <w:lang w:val="fr-FR"/>
        </w:rPr>
        <w:t xml:space="preserve">, 22 octobre 1996, § 64, </w:t>
      </w:r>
      <w:r w:rsidRPr="00FC71C0">
        <w:rPr>
          <w:i/>
          <w:lang w:val="fr-FR"/>
        </w:rPr>
        <w:t>Recueil </w:t>
      </w:r>
      <w:r w:rsidRPr="00FC71C0">
        <w:rPr>
          <w:lang w:val="fr-FR"/>
        </w:rPr>
        <w:t>1996</w:t>
      </w:r>
      <w:r w:rsidRPr="00FC71C0">
        <w:rPr>
          <w:lang w:val="fr-FR"/>
        </w:rPr>
        <w:noBreakHyphen/>
        <w:t>IV). Toutefois, la Cour constate en l</w:t>
      </w:r>
      <w:r w:rsidR="00F20289">
        <w:rPr>
          <w:lang w:val="fr-FR"/>
        </w:rPr>
        <w:t>’</w:t>
      </w:r>
      <w:r w:rsidRPr="00FC71C0">
        <w:rPr>
          <w:lang w:val="fr-FR"/>
        </w:rPr>
        <w:t>occurrence que la procédure pénale à l</w:t>
      </w:r>
      <w:r w:rsidR="00F20289">
        <w:rPr>
          <w:lang w:val="fr-FR"/>
        </w:rPr>
        <w:t>’</w:t>
      </w:r>
      <w:r w:rsidRPr="00FC71C0">
        <w:rPr>
          <w:lang w:val="fr-FR"/>
        </w:rPr>
        <w:t>encontre du père était pendante quand les juridictions internes ont autorisé les rencontres et que c</w:t>
      </w:r>
      <w:r w:rsidR="00F20289">
        <w:rPr>
          <w:lang w:val="fr-FR"/>
        </w:rPr>
        <w:t>’</w:t>
      </w:r>
      <w:r w:rsidRPr="00FC71C0">
        <w:rPr>
          <w:lang w:val="fr-FR"/>
        </w:rPr>
        <w:t>est après l</w:t>
      </w:r>
      <w:r w:rsidR="00F20289">
        <w:rPr>
          <w:lang w:val="fr-FR"/>
        </w:rPr>
        <w:t>’</w:t>
      </w:r>
      <w:r w:rsidRPr="00FC71C0">
        <w:rPr>
          <w:lang w:val="fr-FR"/>
        </w:rPr>
        <w:t>acquittement du père en 2006 (voir paragraphe 10 ci-dessus) que les mêmes juridictions ont décidé d</w:t>
      </w:r>
      <w:r w:rsidR="00F20289">
        <w:rPr>
          <w:lang w:val="fr-FR"/>
        </w:rPr>
        <w:t>’</w:t>
      </w:r>
      <w:r w:rsidRPr="00FC71C0">
        <w:rPr>
          <w:lang w:val="fr-FR"/>
        </w:rPr>
        <w:t>interdire toute possibilité de rencontre. La raison principale qui justifia la rupture presque totale des rapports entre les requérants et l</w:t>
      </w:r>
      <w:r w:rsidR="00F20289">
        <w:rPr>
          <w:lang w:val="fr-FR"/>
        </w:rPr>
        <w:t>’</w:t>
      </w:r>
      <w:r w:rsidRPr="00FC71C0">
        <w:rPr>
          <w:lang w:val="fr-FR"/>
        </w:rPr>
        <w:t>enfant était le fait que l</w:t>
      </w:r>
      <w:r w:rsidR="00F20289">
        <w:rPr>
          <w:lang w:val="fr-FR"/>
        </w:rPr>
        <w:t>’</w:t>
      </w:r>
      <w:r w:rsidRPr="00FC71C0">
        <w:rPr>
          <w:lang w:val="fr-FR"/>
        </w:rPr>
        <w:t>enfant associait ses grands-parents à son père et aux prétendus attouchements sexuels subis. Bien que la Cour soit consciente du fait qu</w:t>
      </w:r>
      <w:r w:rsidR="00F20289">
        <w:rPr>
          <w:lang w:val="fr-FR"/>
        </w:rPr>
        <w:t>’</w:t>
      </w:r>
      <w:r w:rsidRPr="00FC71C0">
        <w:rPr>
          <w:lang w:val="fr-FR"/>
        </w:rPr>
        <w:t xml:space="preserve">une grande prudence </w:t>
      </w:r>
      <w:r w:rsidR="00FC7914" w:rsidRPr="00FC71C0">
        <w:rPr>
          <w:lang w:val="fr-FR"/>
        </w:rPr>
        <w:t>s</w:t>
      </w:r>
      <w:r w:rsidR="00F20289">
        <w:rPr>
          <w:lang w:val="fr-FR"/>
        </w:rPr>
        <w:t>’</w:t>
      </w:r>
      <w:r w:rsidRPr="00FC71C0">
        <w:rPr>
          <w:lang w:val="fr-FR"/>
        </w:rPr>
        <w:t>impose dans des situations de ce type et que des mesures visant à protéger l</w:t>
      </w:r>
      <w:r w:rsidR="00F20289">
        <w:rPr>
          <w:lang w:val="fr-FR"/>
        </w:rPr>
        <w:t>’</w:t>
      </w:r>
      <w:r w:rsidRPr="00FC71C0">
        <w:rPr>
          <w:lang w:val="fr-FR"/>
        </w:rPr>
        <w:t>enfant peuvent impliquer une limitation des contacts avec les membres de la famille, elle estime que les autorités compétentes n</w:t>
      </w:r>
      <w:r w:rsidR="00F20289">
        <w:rPr>
          <w:lang w:val="fr-FR"/>
        </w:rPr>
        <w:t>’</w:t>
      </w:r>
      <w:r w:rsidRPr="00FC71C0">
        <w:rPr>
          <w:lang w:val="fr-FR"/>
        </w:rPr>
        <w:t>ont pas déployé les efforts nécessaires pour sauvegarder le lien familiale et n</w:t>
      </w:r>
      <w:r w:rsidR="00F20289">
        <w:rPr>
          <w:lang w:val="fr-FR"/>
        </w:rPr>
        <w:t>’</w:t>
      </w:r>
      <w:r w:rsidRPr="00FC71C0">
        <w:rPr>
          <w:lang w:val="fr-FR"/>
        </w:rPr>
        <w:t>ont pas réagi avec la diligence requise (</w:t>
      </w:r>
      <w:r w:rsidRPr="00FC71C0">
        <w:rPr>
          <w:i/>
          <w:lang w:val="fr-FR"/>
        </w:rPr>
        <w:t>Clemeno et autres</w:t>
      </w:r>
      <w:r w:rsidRPr="00FC71C0">
        <w:rPr>
          <w:lang w:val="fr-FR"/>
        </w:rPr>
        <w:t>, précité, §§ 59-61).</w:t>
      </w:r>
    </w:p>
    <w:p w:rsidR="00451ED3" w:rsidRPr="00FC71C0" w:rsidRDefault="00451ED3" w:rsidP="00FC71C0">
      <w:pPr>
        <w:pStyle w:val="ECHRPara"/>
        <w:rPr>
          <w:lang w:val="fr-FR"/>
        </w:rPr>
      </w:pPr>
      <w:r w:rsidRPr="00FC71C0">
        <w:rPr>
          <w:lang w:val="fr-FR"/>
        </w:rPr>
        <w:t>La Cour remarque à cet égard que trois ans se sont écoulés avant que le  tribunal de Turin ne se prononce sur la demande des requérants de rencontrer leur petite-fille (voir paragraphe 55 ci-dessus) et que la décision du tribunal accordant aux requérants le droit de visite n</w:t>
      </w:r>
      <w:r w:rsidR="00F20289">
        <w:rPr>
          <w:lang w:val="fr-FR"/>
        </w:rPr>
        <w:t>’</w:t>
      </w:r>
      <w:r w:rsidRPr="00FC71C0">
        <w:rPr>
          <w:lang w:val="fr-FR"/>
        </w:rPr>
        <w:t>a jamais été exécutée (voir paragraphe 54 ci-dessus).</w:t>
      </w:r>
    </w:p>
    <w:p w:rsidR="00A46340" w:rsidRPr="00FC71C0" w:rsidRDefault="0057500B"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58</w:t>
      </w:r>
      <w:r w:rsidRPr="00FC71C0">
        <w:rPr>
          <w:lang w:val="fr-FR"/>
        </w:rPr>
        <w:fldChar w:fldCharType="end"/>
      </w:r>
      <w:r w:rsidRPr="00FC71C0">
        <w:rPr>
          <w:lang w:val="fr-FR"/>
        </w:rPr>
        <w:t>.  La Cour rappelle qu</w:t>
      </w:r>
      <w:r w:rsidR="00F20289">
        <w:rPr>
          <w:lang w:val="fr-FR"/>
        </w:rPr>
        <w:t>’</w:t>
      </w:r>
      <w:r w:rsidRPr="00FC71C0">
        <w:rPr>
          <w:lang w:val="fr-FR"/>
        </w:rPr>
        <w:t>il ne lui revient pas de substituer son appréciation à celle des autorités nationale</w:t>
      </w:r>
      <w:r w:rsidR="00C443C1" w:rsidRPr="00FC71C0">
        <w:rPr>
          <w:lang w:val="fr-FR"/>
        </w:rPr>
        <w:t>s</w:t>
      </w:r>
      <w:r w:rsidRPr="00FC71C0">
        <w:rPr>
          <w:lang w:val="fr-FR"/>
        </w:rPr>
        <w:t xml:space="preserve"> compétentes quant aux mesures qui auraient dû être prises, car ces autorités sont en principe mieux placées pour procéder à une telle évaluation, en particulier parce qu</w:t>
      </w:r>
      <w:r w:rsidR="00F20289">
        <w:rPr>
          <w:lang w:val="fr-FR"/>
        </w:rPr>
        <w:t>’</w:t>
      </w:r>
      <w:r w:rsidRPr="00FC71C0">
        <w:rPr>
          <w:lang w:val="fr-FR"/>
        </w:rPr>
        <w:t>elle</w:t>
      </w:r>
      <w:r w:rsidR="001A79A9" w:rsidRPr="00FC71C0">
        <w:rPr>
          <w:lang w:val="fr-FR"/>
        </w:rPr>
        <w:t>s</w:t>
      </w:r>
      <w:r w:rsidRPr="00FC71C0">
        <w:rPr>
          <w:lang w:val="fr-FR"/>
        </w:rPr>
        <w:t xml:space="preserve"> sont en contact direct avec le contexte de l</w:t>
      </w:r>
      <w:r w:rsidR="00F20289">
        <w:rPr>
          <w:lang w:val="fr-FR"/>
        </w:rPr>
        <w:t>’</w:t>
      </w:r>
      <w:r w:rsidRPr="00FC71C0">
        <w:rPr>
          <w:lang w:val="fr-FR"/>
        </w:rPr>
        <w:t>affaire et les parties impliqu</w:t>
      </w:r>
      <w:r w:rsidR="00EC20B7" w:rsidRPr="00FC71C0">
        <w:rPr>
          <w:lang w:val="fr-FR"/>
        </w:rPr>
        <w:t>é</w:t>
      </w:r>
      <w:r w:rsidRPr="00FC71C0">
        <w:rPr>
          <w:lang w:val="fr-FR"/>
        </w:rPr>
        <w:t>es (</w:t>
      </w:r>
      <w:r w:rsidR="00046F4B" w:rsidRPr="00FC71C0">
        <w:rPr>
          <w:i/>
          <w:lang w:val="fr-FR"/>
        </w:rPr>
        <w:t>Reigado Ramos</w:t>
      </w:r>
      <w:r w:rsidR="00046F4B" w:rsidRPr="00FC71C0">
        <w:rPr>
          <w:lang w:val="fr-FR"/>
        </w:rPr>
        <w:t>, précité, § 53). Pour autant, elle ne peut en l</w:t>
      </w:r>
      <w:r w:rsidR="00F20289">
        <w:rPr>
          <w:lang w:val="fr-FR"/>
        </w:rPr>
        <w:t>’</w:t>
      </w:r>
      <w:r w:rsidR="00046F4B" w:rsidRPr="00FC71C0">
        <w:rPr>
          <w:lang w:val="fr-FR"/>
        </w:rPr>
        <w:t xml:space="preserve">espèce passer outre </w:t>
      </w:r>
      <w:r w:rsidR="000F384C" w:rsidRPr="00FC71C0">
        <w:rPr>
          <w:lang w:val="fr-FR"/>
        </w:rPr>
        <w:t>le</w:t>
      </w:r>
      <w:r w:rsidR="00046F4B" w:rsidRPr="00FC71C0">
        <w:rPr>
          <w:lang w:val="fr-FR"/>
        </w:rPr>
        <w:t xml:space="preserve"> fait que les requérants </w:t>
      </w:r>
      <w:r w:rsidR="00880242" w:rsidRPr="00FC71C0">
        <w:rPr>
          <w:lang w:val="fr-FR"/>
        </w:rPr>
        <w:t>n</w:t>
      </w:r>
      <w:r w:rsidR="00F20289">
        <w:rPr>
          <w:lang w:val="fr-FR"/>
        </w:rPr>
        <w:t>’</w:t>
      </w:r>
      <w:r w:rsidR="00880242" w:rsidRPr="00FC71C0">
        <w:rPr>
          <w:lang w:val="fr-FR"/>
        </w:rPr>
        <w:t xml:space="preserve">ont pu voir leur petite-fille </w:t>
      </w:r>
      <w:r w:rsidR="00AC67F0" w:rsidRPr="00FC71C0">
        <w:rPr>
          <w:lang w:val="fr-FR"/>
        </w:rPr>
        <w:t xml:space="preserve">depuis </w:t>
      </w:r>
      <w:r w:rsidR="00880242" w:rsidRPr="00FC71C0">
        <w:rPr>
          <w:lang w:val="fr-FR"/>
        </w:rPr>
        <w:t>douze ans environ</w:t>
      </w:r>
      <w:r w:rsidR="000F384C" w:rsidRPr="00FC71C0">
        <w:rPr>
          <w:lang w:val="fr-FR"/>
        </w:rPr>
        <w:t xml:space="preserve">, </w:t>
      </w:r>
      <w:r w:rsidR="00880242" w:rsidRPr="00FC71C0">
        <w:rPr>
          <w:lang w:val="fr-FR"/>
        </w:rPr>
        <w:t>qu</w:t>
      </w:r>
      <w:r w:rsidR="00F20289">
        <w:rPr>
          <w:lang w:val="fr-FR"/>
        </w:rPr>
        <w:t>’</w:t>
      </w:r>
      <w:r w:rsidR="00880242" w:rsidRPr="00FC71C0">
        <w:rPr>
          <w:lang w:val="fr-FR"/>
        </w:rPr>
        <w:t xml:space="preserve">à plusieurs reprises ils </w:t>
      </w:r>
      <w:r w:rsidR="00046F4B" w:rsidRPr="00FC71C0">
        <w:rPr>
          <w:lang w:val="fr-FR"/>
        </w:rPr>
        <w:t>ont sollicité la mise en place d</w:t>
      </w:r>
      <w:r w:rsidR="00F20289">
        <w:rPr>
          <w:lang w:val="fr-FR"/>
        </w:rPr>
        <w:t>’</w:t>
      </w:r>
      <w:r w:rsidR="00046F4B" w:rsidRPr="00FC71C0">
        <w:rPr>
          <w:lang w:val="fr-FR"/>
        </w:rPr>
        <w:t>un parcours de rapprochement avec l</w:t>
      </w:r>
      <w:r w:rsidR="00F20289">
        <w:rPr>
          <w:lang w:val="fr-FR"/>
        </w:rPr>
        <w:t>’</w:t>
      </w:r>
      <w:r w:rsidR="00046F4B" w:rsidRPr="00FC71C0">
        <w:rPr>
          <w:lang w:val="fr-FR"/>
        </w:rPr>
        <w:t>enfant, qu</w:t>
      </w:r>
      <w:r w:rsidR="00F20289">
        <w:rPr>
          <w:lang w:val="fr-FR"/>
        </w:rPr>
        <w:t>’</w:t>
      </w:r>
      <w:r w:rsidR="00046F4B" w:rsidRPr="00FC71C0">
        <w:rPr>
          <w:lang w:val="fr-FR"/>
        </w:rPr>
        <w:t>ils ont suivi les prescriptions des servic</w:t>
      </w:r>
      <w:r w:rsidR="00122D04" w:rsidRPr="00FC71C0">
        <w:rPr>
          <w:lang w:val="fr-FR"/>
        </w:rPr>
        <w:t>es sociaux et des psychologues</w:t>
      </w:r>
      <w:r w:rsidR="000F384C" w:rsidRPr="00FC71C0">
        <w:rPr>
          <w:lang w:val="fr-FR"/>
        </w:rPr>
        <w:t>,</w:t>
      </w:r>
      <w:r w:rsidR="00122D04" w:rsidRPr="00FC71C0">
        <w:rPr>
          <w:lang w:val="fr-FR"/>
        </w:rPr>
        <w:t xml:space="preserve"> </w:t>
      </w:r>
      <w:r w:rsidR="000F384C" w:rsidRPr="00FC71C0">
        <w:rPr>
          <w:lang w:val="fr-FR"/>
        </w:rPr>
        <w:t>et qu</w:t>
      </w:r>
      <w:r w:rsidR="00F20289">
        <w:rPr>
          <w:lang w:val="fr-FR"/>
        </w:rPr>
        <w:t>’</w:t>
      </w:r>
      <w:r w:rsidR="000F384C" w:rsidRPr="00FC71C0">
        <w:rPr>
          <w:lang w:val="fr-FR"/>
        </w:rPr>
        <w:t xml:space="preserve">en dépit de tout cela </w:t>
      </w:r>
      <w:r w:rsidR="00C443C1" w:rsidRPr="00FC71C0">
        <w:rPr>
          <w:lang w:val="fr-FR"/>
        </w:rPr>
        <w:t xml:space="preserve">aucune mesure susceptible de permettre le rétablissement </w:t>
      </w:r>
      <w:r w:rsidR="000F384C" w:rsidRPr="00FC71C0">
        <w:rPr>
          <w:lang w:val="fr-FR"/>
        </w:rPr>
        <w:t>du</w:t>
      </w:r>
      <w:r w:rsidR="00C443C1" w:rsidRPr="00FC71C0">
        <w:rPr>
          <w:lang w:val="fr-FR"/>
        </w:rPr>
        <w:t xml:space="preserve"> lien familial entre </w:t>
      </w:r>
      <w:r w:rsidR="000F384C" w:rsidRPr="00FC71C0">
        <w:rPr>
          <w:lang w:val="fr-FR"/>
        </w:rPr>
        <w:t>eux</w:t>
      </w:r>
      <w:r w:rsidR="00C443C1" w:rsidRPr="00FC71C0">
        <w:rPr>
          <w:lang w:val="fr-FR"/>
        </w:rPr>
        <w:t xml:space="preserve"> et l</w:t>
      </w:r>
      <w:r w:rsidR="00F20289">
        <w:rPr>
          <w:lang w:val="fr-FR"/>
        </w:rPr>
        <w:t>’</w:t>
      </w:r>
      <w:r w:rsidR="00C443C1" w:rsidRPr="00FC71C0">
        <w:rPr>
          <w:lang w:val="fr-FR"/>
        </w:rPr>
        <w:t>en</w:t>
      </w:r>
      <w:r w:rsidR="00B60572" w:rsidRPr="00FC71C0">
        <w:rPr>
          <w:lang w:val="fr-FR"/>
        </w:rPr>
        <w:t>fant n</w:t>
      </w:r>
      <w:r w:rsidR="00F20289">
        <w:rPr>
          <w:lang w:val="fr-FR"/>
        </w:rPr>
        <w:t>’</w:t>
      </w:r>
      <w:r w:rsidR="00B60572" w:rsidRPr="00FC71C0">
        <w:rPr>
          <w:lang w:val="fr-FR"/>
        </w:rPr>
        <w:t>a été prise en l</w:t>
      </w:r>
      <w:r w:rsidR="00F20289">
        <w:rPr>
          <w:lang w:val="fr-FR"/>
        </w:rPr>
        <w:t>’</w:t>
      </w:r>
      <w:r w:rsidR="00B60572" w:rsidRPr="00FC71C0">
        <w:rPr>
          <w:lang w:val="fr-FR"/>
        </w:rPr>
        <w:t>espèce. La rupture totale de tout rapport a eu des conséquences très graves pour les relations entre les requérants et l</w:t>
      </w:r>
      <w:r w:rsidR="00F20289">
        <w:rPr>
          <w:lang w:val="fr-FR"/>
        </w:rPr>
        <w:t>’</w:t>
      </w:r>
      <w:r w:rsidR="00B60572" w:rsidRPr="00FC71C0">
        <w:rPr>
          <w:lang w:val="fr-FR"/>
        </w:rPr>
        <w:t>enfant et il n</w:t>
      </w:r>
      <w:r w:rsidR="00F20289">
        <w:rPr>
          <w:lang w:val="fr-FR"/>
        </w:rPr>
        <w:t>’</w:t>
      </w:r>
      <w:r w:rsidR="00B60572" w:rsidRPr="00FC71C0">
        <w:rPr>
          <w:lang w:val="fr-FR"/>
        </w:rPr>
        <w:t>a pas été suffisamment envisagé en l</w:t>
      </w:r>
      <w:r w:rsidR="00F20289">
        <w:rPr>
          <w:lang w:val="fr-FR"/>
        </w:rPr>
        <w:t>’</w:t>
      </w:r>
      <w:r w:rsidR="00B60572" w:rsidRPr="00FC71C0">
        <w:rPr>
          <w:lang w:val="fr-FR"/>
        </w:rPr>
        <w:t>espèce de maintenir une forme de contact entre les requérants et leur petite-fille.</w:t>
      </w:r>
    </w:p>
    <w:p w:rsidR="00FC71C0" w:rsidRPr="00FC71C0" w:rsidRDefault="00C443C1"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59</w:t>
      </w:r>
      <w:r w:rsidRPr="00FC71C0">
        <w:rPr>
          <w:lang w:val="fr-FR"/>
        </w:rPr>
        <w:fldChar w:fldCharType="end"/>
      </w:r>
      <w:r w:rsidRPr="00FC71C0">
        <w:rPr>
          <w:lang w:val="fr-FR"/>
        </w:rPr>
        <w:t>.  Eu égard à ce qui précède et nonobstant la marge d</w:t>
      </w:r>
      <w:r w:rsidR="00F20289">
        <w:rPr>
          <w:lang w:val="fr-FR"/>
        </w:rPr>
        <w:t>’</w:t>
      </w:r>
      <w:r w:rsidRPr="00FC71C0">
        <w:rPr>
          <w:lang w:val="fr-FR"/>
        </w:rPr>
        <w:t>appréciation de l</w:t>
      </w:r>
      <w:r w:rsidR="00F20289">
        <w:rPr>
          <w:lang w:val="fr-FR"/>
        </w:rPr>
        <w:t>’</w:t>
      </w:r>
      <w:r w:rsidRPr="00FC71C0">
        <w:rPr>
          <w:lang w:val="fr-FR"/>
        </w:rPr>
        <w:t>État défendeur en la matière, la Cour considère que les autorités nationales n</w:t>
      </w:r>
      <w:r w:rsidR="00F20289">
        <w:rPr>
          <w:lang w:val="fr-FR"/>
        </w:rPr>
        <w:t>’</w:t>
      </w:r>
      <w:r w:rsidRPr="00FC71C0">
        <w:rPr>
          <w:lang w:val="fr-FR"/>
        </w:rPr>
        <w:t>ont pas déployé les efforts adéquats et suffisants</w:t>
      </w:r>
      <w:r w:rsidR="000F384C" w:rsidRPr="00FC71C0">
        <w:rPr>
          <w:lang w:val="fr-FR"/>
        </w:rPr>
        <w:t xml:space="preserve"> pour</w:t>
      </w:r>
      <w:r w:rsidRPr="00FC71C0">
        <w:rPr>
          <w:lang w:val="fr-FR"/>
        </w:rPr>
        <w:t xml:space="preserve"> préserver le lien familial entre les requérants et leur petite-fille et qu</w:t>
      </w:r>
      <w:r w:rsidR="00F20289">
        <w:rPr>
          <w:lang w:val="fr-FR"/>
        </w:rPr>
        <w:t>’</w:t>
      </w:r>
      <w:r w:rsidRPr="00FC71C0">
        <w:rPr>
          <w:lang w:val="fr-FR"/>
        </w:rPr>
        <w:t>elles ont méconnu le droit des intéressés au respect de leur vie familiale garanti par l</w:t>
      </w:r>
      <w:r w:rsidR="00F20289">
        <w:rPr>
          <w:lang w:val="fr-FR"/>
        </w:rPr>
        <w:t>’</w:t>
      </w:r>
      <w:r w:rsidRPr="00FC71C0">
        <w:rPr>
          <w:lang w:val="fr-FR"/>
        </w:rPr>
        <w:t>article</w:t>
      </w:r>
      <w:r w:rsidR="008068D5" w:rsidRPr="00FC71C0">
        <w:rPr>
          <w:lang w:val="fr-FR"/>
        </w:rPr>
        <w:t> </w:t>
      </w:r>
      <w:r w:rsidRPr="00FC71C0">
        <w:rPr>
          <w:lang w:val="fr-FR"/>
        </w:rPr>
        <w:t>8 de la Convention.</w:t>
      </w:r>
    </w:p>
    <w:p w:rsidR="00FC71C0" w:rsidRPr="00FC71C0" w:rsidRDefault="00C443C1"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60</w:t>
      </w:r>
      <w:r w:rsidRPr="00FC71C0">
        <w:rPr>
          <w:lang w:val="fr-FR"/>
        </w:rPr>
        <w:fldChar w:fldCharType="end"/>
      </w:r>
      <w:r w:rsidRPr="00FC71C0">
        <w:rPr>
          <w:lang w:val="fr-FR"/>
        </w:rPr>
        <w:t>.  Partant la Cour conclut à la violation de cette disposition.</w:t>
      </w:r>
    </w:p>
    <w:p w:rsidR="00E77CB3" w:rsidRPr="00FC71C0" w:rsidRDefault="001A79A9" w:rsidP="00FC71C0">
      <w:pPr>
        <w:pStyle w:val="ECHRHeading1"/>
        <w:rPr>
          <w:lang w:val="fr-FR"/>
        </w:rPr>
      </w:pPr>
      <w:r w:rsidRPr="00FC71C0">
        <w:rPr>
          <w:lang w:val="fr-FR"/>
        </w:rPr>
        <w:t>II</w:t>
      </w:r>
      <w:r w:rsidR="00E77CB3" w:rsidRPr="00FC71C0">
        <w:rPr>
          <w:lang w:val="fr-FR"/>
        </w:rPr>
        <w:t>.  SUR L</w:t>
      </w:r>
      <w:r w:rsidR="00F20289">
        <w:rPr>
          <w:lang w:val="fr-FR"/>
        </w:rPr>
        <w:t>’</w:t>
      </w:r>
      <w:r w:rsidR="00E77CB3" w:rsidRPr="00FC71C0">
        <w:rPr>
          <w:lang w:val="fr-FR"/>
        </w:rPr>
        <w:t>APPLICATION DE L</w:t>
      </w:r>
      <w:r w:rsidR="00F20289">
        <w:rPr>
          <w:lang w:val="fr-FR"/>
        </w:rPr>
        <w:t>’</w:t>
      </w:r>
      <w:r w:rsidR="00E77CB3" w:rsidRPr="00FC71C0">
        <w:rPr>
          <w:lang w:val="fr-FR"/>
        </w:rPr>
        <w:t>ARTICLE</w:t>
      </w:r>
      <w:r w:rsidR="008068D5" w:rsidRPr="00FC71C0">
        <w:rPr>
          <w:lang w:val="fr-FR"/>
        </w:rPr>
        <w:t> </w:t>
      </w:r>
      <w:r w:rsidR="00E77CB3" w:rsidRPr="00FC71C0">
        <w:rPr>
          <w:lang w:val="fr-FR"/>
        </w:rPr>
        <w:t>41 DE LA CONVENTION</w:t>
      </w:r>
    </w:p>
    <w:p w:rsidR="00E77CB3" w:rsidRPr="00FC71C0" w:rsidRDefault="001A79A9"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61</w:t>
      </w:r>
      <w:r w:rsidRPr="00FC71C0">
        <w:rPr>
          <w:lang w:val="fr-FR"/>
        </w:rPr>
        <w:fldChar w:fldCharType="end"/>
      </w:r>
      <w:r w:rsidRPr="00FC71C0">
        <w:rPr>
          <w:lang w:val="fr-FR"/>
        </w:rPr>
        <w:t>.  </w:t>
      </w:r>
      <w:r w:rsidR="00E77CB3" w:rsidRPr="00FC71C0">
        <w:rPr>
          <w:lang w:val="fr-FR"/>
        </w:rPr>
        <w:t>Aux termes de l</w:t>
      </w:r>
      <w:r w:rsidR="00F20289">
        <w:rPr>
          <w:lang w:val="fr-FR"/>
        </w:rPr>
        <w:t>’</w:t>
      </w:r>
      <w:r w:rsidR="00E77CB3" w:rsidRPr="00FC71C0">
        <w:rPr>
          <w:lang w:val="fr-FR"/>
        </w:rPr>
        <w:t>article</w:t>
      </w:r>
      <w:r w:rsidR="008068D5" w:rsidRPr="00FC71C0">
        <w:rPr>
          <w:lang w:val="fr-FR"/>
        </w:rPr>
        <w:t> </w:t>
      </w:r>
      <w:r w:rsidR="00E77CB3" w:rsidRPr="00FC71C0">
        <w:rPr>
          <w:lang w:val="fr-FR"/>
        </w:rPr>
        <w:t>41 de la Convention,</w:t>
      </w:r>
    </w:p>
    <w:p w:rsidR="00E77CB3" w:rsidRPr="00FC71C0" w:rsidRDefault="00E77CB3" w:rsidP="00FC71C0">
      <w:pPr>
        <w:pStyle w:val="ECHRParaQuote"/>
        <w:keepNext/>
        <w:keepLines/>
        <w:rPr>
          <w:lang w:val="fr-FR"/>
        </w:rPr>
      </w:pPr>
      <w:r w:rsidRPr="00FC71C0">
        <w:rPr>
          <w:lang w:val="fr-FR"/>
        </w:rPr>
        <w:t>« Si la Cour déclare qu</w:t>
      </w:r>
      <w:r w:rsidR="00F20289">
        <w:rPr>
          <w:lang w:val="fr-FR"/>
        </w:rPr>
        <w:t>’</w:t>
      </w:r>
      <w:r w:rsidRPr="00FC71C0">
        <w:rPr>
          <w:lang w:val="fr-FR"/>
        </w:rPr>
        <w:t>il y a eu violation de la Convention ou de ses Protocoles, et si le droit interne de la Haute Partie contractante ne permet d</w:t>
      </w:r>
      <w:r w:rsidR="00F20289">
        <w:rPr>
          <w:lang w:val="fr-FR"/>
        </w:rPr>
        <w:t>’</w:t>
      </w:r>
      <w:r w:rsidRPr="00FC71C0">
        <w:rPr>
          <w:lang w:val="fr-FR"/>
        </w:rPr>
        <w:t>effacer qu</w:t>
      </w:r>
      <w:r w:rsidR="00F20289">
        <w:rPr>
          <w:lang w:val="fr-FR"/>
        </w:rPr>
        <w:t>’</w:t>
      </w:r>
      <w:r w:rsidRPr="00FC71C0">
        <w:rPr>
          <w:lang w:val="fr-FR"/>
        </w:rPr>
        <w:t>imparfaitement les conséquences de cette violation, la Cour accorde à la partie lésée, s</w:t>
      </w:r>
      <w:r w:rsidR="00F20289">
        <w:rPr>
          <w:lang w:val="fr-FR"/>
        </w:rPr>
        <w:t>’</w:t>
      </w:r>
      <w:r w:rsidRPr="00FC71C0">
        <w:rPr>
          <w:lang w:val="fr-FR"/>
        </w:rPr>
        <w:t>il y a lieu, une satisfaction équitable. »</w:t>
      </w:r>
    </w:p>
    <w:p w:rsidR="00E77CB3" w:rsidRPr="00FC71C0" w:rsidRDefault="00E77CB3" w:rsidP="00FC71C0">
      <w:pPr>
        <w:pStyle w:val="ECHRHeading2"/>
        <w:rPr>
          <w:lang w:val="fr-FR"/>
        </w:rPr>
      </w:pPr>
      <w:r w:rsidRPr="00FC71C0">
        <w:rPr>
          <w:lang w:val="fr-FR"/>
        </w:rPr>
        <w:t>A.  Dommage</w:t>
      </w:r>
    </w:p>
    <w:p w:rsidR="00E77CB3" w:rsidRPr="00FC71C0" w:rsidRDefault="001A79A9"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62</w:t>
      </w:r>
      <w:r w:rsidRPr="00FC71C0">
        <w:rPr>
          <w:lang w:val="fr-FR"/>
        </w:rPr>
        <w:fldChar w:fldCharType="end"/>
      </w:r>
      <w:r w:rsidRPr="00FC71C0">
        <w:rPr>
          <w:lang w:val="fr-FR"/>
        </w:rPr>
        <w:t>.  </w:t>
      </w:r>
      <w:r w:rsidR="00885B07" w:rsidRPr="00FC71C0">
        <w:rPr>
          <w:lang w:val="fr-FR"/>
        </w:rPr>
        <w:t>Les requérants</w:t>
      </w:r>
      <w:r w:rsidR="00E77CB3" w:rsidRPr="00FC71C0">
        <w:rPr>
          <w:lang w:val="fr-FR"/>
        </w:rPr>
        <w:t xml:space="preserve"> réclame</w:t>
      </w:r>
      <w:r w:rsidR="00802E33" w:rsidRPr="00FC71C0">
        <w:rPr>
          <w:lang w:val="fr-FR"/>
        </w:rPr>
        <w:t>nt</w:t>
      </w:r>
      <w:r w:rsidR="00E77CB3" w:rsidRPr="00FC71C0">
        <w:rPr>
          <w:lang w:val="fr-FR"/>
        </w:rPr>
        <w:t xml:space="preserve"> </w:t>
      </w:r>
      <w:r w:rsidR="00885B07" w:rsidRPr="00FC71C0">
        <w:rPr>
          <w:lang w:val="fr-FR"/>
        </w:rPr>
        <w:t>la réparation d</w:t>
      </w:r>
      <w:r w:rsidR="00F20289">
        <w:rPr>
          <w:lang w:val="fr-FR"/>
        </w:rPr>
        <w:t>’</w:t>
      </w:r>
      <w:r w:rsidR="00885B07" w:rsidRPr="00FC71C0">
        <w:rPr>
          <w:lang w:val="fr-FR"/>
        </w:rPr>
        <w:t>un préjudice moral du fait de l</w:t>
      </w:r>
      <w:r w:rsidR="00F20289">
        <w:rPr>
          <w:lang w:val="fr-FR"/>
        </w:rPr>
        <w:t>’</w:t>
      </w:r>
      <w:r w:rsidR="00885B07" w:rsidRPr="00FC71C0">
        <w:rPr>
          <w:lang w:val="fr-FR"/>
        </w:rPr>
        <w:t xml:space="preserve">impossibilité </w:t>
      </w:r>
      <w:r w:rsidR="009D24A6" w:rsidRPr="00FC71C0">
        <w:rPr>
          <w:lang w:val="fr-FR"/>
        </w:rPr>
        <w:t xml:space="preserve">pour eux </w:t>
      </w:r>
      <w:r w:rsidR="00885B07" w:rsidRPr="00FC71C0">
        <w:rPr>
          <w:lang w:val="fr-FR"/>
        </w:rPr>
        <w:t>de nouer une relation avec leur petite-fille et de l</w:t>
      </w:r>
      <w:r w:rsidR="00F20289">
        <w:rPr>
          <w:lang w:val="fr-FR"/>
        </w:rPr>
        <w:t>’</w:t>
      </w:r>
      <w:r w:rsidR="00885B07" w:rsidRPr="00FC71C0">
        <w:rPr>
          <w:lang w:val="fr-FR"/>
        </w:rPr>
        <w:t>angoisse éprouvée.</w:t>
      </w:r>
      <w:r w:rsidR="002703CE" w:rsidRPr="00FC71C0">
        <w:rPr>
          <w:lang w:val="fr-FR"/>
        </w:rPr>
        <w:t xml:space="preserve"> Ils demandent la somme de 30 000 </w:t>
      </w:r>
      <w:r w:rsidR="009D24A6" w:rsidRPr="00FC71C0">
        <w:rPr>
          <w:lang w:val="fr-FR"/>
        </w:rPr>
        <w:t>euros (</w:t>
      </w:r>
      <w:r w:rsidR="002703CE" w:rsidRPr="00FC71C0">
        <w:rPr>
          <w:lang w:val="fr-FR"/>
        </w:rPr>
        <w:t>EUR</w:t>
      </w:r>
      <w:r w:rsidR="009D24A6" w:rsidRPr="00FC71C0">
        <w:rPr>
          <w:lang w:val="fr-FR"/>
        </w:rPr>
        <w:t>)</w:t>
      </w:r>
      <w:r w:rsidR="00E77CB3" w:rsidRPr="00FC71C0">
        <w:rPr>
          <w:lang w:val="fr-FR"/>
        </w:rPr>
        <w:t>.</w:t>
      </w:r>
    </w:p>
    <w:p w:rsidR="002703CE"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63</w:t>
      </w:r>
      <w:r w:rsidRPr="00FC71C0">
        <w:rPr>
          <w:lang w:val="fr-FR"/>
        </w:rPr>
        <w:fldChar w:fldCharType="end"/>
      </w:r>
      <w:r w:rsidR="00E77CB3" w:rsidRPr="00FC71C0">
        <w:rPr>
          <w:lang w:val="fr-FR"/>
        </w:rPr>
        <w:t xml:space="preserve">.  Le Gouvernement </w:t>
      </w:r>
      <w:r w:rsidR="002703CE" w:rsidRPr="00FC71C0">
        <w:rPr>
          <w:lang w:val="fr-FR"/>
        </w:rPr>
        <w:t>s</w:t>
      </w:r>
      <w:r w:rsidR="00F20289">
        <w:rPr>
          <w:lang w:val="fr-FR"/>
        </w:rPr>
        <w:t>’</w:t>
      </w:r>
      <w:r w:rsidR="002703CE" w:rsidRPr="00FC71C0">
        <w:rPr>
          <w:lang w:val="fr-FR"/>
        </w:rPr>
        <w:t>oppose à cette demande</w:t>
      </w:r>
      <w:r w:rsidR="009D24A6" w:rsidRPr="00FC71C0">
        <w:rPr>
          <w:lang w:val="fr-FR"/>
        </w:rPr>
        <w:t>.</w:t>
      </w:r>
    </w:p>
    <w:p w:rsidR="00FC71C0"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64</w:t>
      </w:r>
      <w:r w:rsidRPr="00FC71C0">
        <w:rPr>
          <w:lang w:val="fr-FR"/>
        </w:rPr>
        <w:fldChar w:fldCharType="end"/>
      </w:r>
      <w:r w:rsidR="00E77CB3" w:rsidRPr="00FC71C0">
        <w:rPr>
          <w:lang w:val="fr-FR"/>
        </w:rPr>
        <w:t>.  </w:t>
      </w:r>
      <w:r w:rsidR="002703CE" w:rsidRPr="00FC71C0">
        <w:rPr>
          <w:lang w:val="fr-FR"/>
        </w:rPr>
        <w:t>En tenant compte des circonstances de l</w:t>
      </w:r>
      <w:r w:rsidR="00F20289">
        <w:rPr>
          <w:lang w:val="fr-FR"/>
        </w:rPr>
        <w:t>’</w:t>
      </w:r>
      <w:r w:rsidR="002703CE" w:rsidRPr="00FC71C0">
        <w:rPr>
          <w:lang w:val="fr-FR"/>
        </w:rPr>
        <w:t>espèce et du constat selon lequel le</w:t>
      </w:r>
      <w:r w:rsidR="008A1519" w:rsidRPr="00FC71C0">
        <w:rPr>
          <w:lang w:val="fr-FR"/>
        </w:rPr>
        <w:t>s</w:t>
      </w:r>
      <w:r w:rsidR="002703CE" w:rsidRPr="00FC71C0">
        <w:rPr>
          <w:lang w:val="fr-FR"/>
        </w:rPr>
        <w:t xml:space="preserve"> requérant</w:t>
      </w:r>
      <w:r w:rsidR="008A1519" w:rsidRPr="00FC71C0">
        <w:rPr>
          <w:lang w:val="fr-FR"/>
        </w:rPr>
        <w:t>s se sont</w:t>
      </w:r>
      <w:r w:rsidR="002703CE" w:rsidRPr="00FC71C0">
        <w:rPr>
          <w:lang w:val="fr-FR"/>
        </w:rPr>
        <w:t xml:space="preserve"> heurté</w:t>
      </w:r>
      <w:r w:rsidR="008A1519" w:rsidRPr="00FC71C0">
        <w:rPr>
          <w:lang w:val="fr-FR"/>
        </w:rPr>
        <w:t>s</w:t>
      </w:r>
      <w:r w:rsidR="002703CE" w:rsidRPr="00FC71C0">
        <w:rPr>
          <w:lang w:val="fr-FR"/>
        </w:rPr>
        <w:t xml:space="preserve"> à l</w:t>
      </w:r>
      <w:r w:rsidR="00F20289">
        <w:rPr>
          <w:lang w:val="fr-FR"/>
        </w:rPr>
        <w:t>’</w:t>
      </w:r>
      <w:r w:rsidR="002703CE" w:rsidRPr="00FC71C0">
        <w:rPr>
          <w:lang w:val="fr-FR"/>
        </w:rPr>
        <w:t>impossibilité d</w:t>
      </w:r>
      <w:r w:rsidR="00F20289">
        <w:rPr>
          <w:lang w:val="fr-FR"/>
        </w:rPr>
        <w:t>’</w:t>
      </w:r>
      <w:r w:rsidR="002703CE" w:rsidRPr="00FC71C0">
        <w:rPr>
          <w:lang w:val="fr-FR"/>
        </w:rPr>
        <w:t xml:space="preserve">avoir des </w:t>
      </w:r>
      <w:r w:rsidR="0079093F" w:rsidRPr="00FC71C0">
        <w:rPr>
          <w:lang w:val="fr-FR"/>
        </w:rPr>
        <w:t xml:space="preserve">rapports </w:t>
      </w:r>
      <w:r w:rsidR="002703CE" w:rsidRPr="00FC71C0">
        <w:rPr>
          <w:lang w:val="fr-FR"/>
        </w:rPr>
        <w:t>avec leur petite-fille, la Cour considère que les intéressés ont subi un préjudice moral qui ne saurait être réparé par le seul constat de violation de l</w:t>
      </w:r>
      <w:r w:rsidR="00F20289">
        <w:rPr>
          <w:lang w:val="fr-FR"/>
        </w:rPr>
        <w:t>’</w:t>
      </w:r>
      <w:r w:rsidR="002703CE" w:rsidRPr="00FC71C0">
        <w:rPr>
          <w:lang w:val="fr-FR"/>
        </w:rPr>
        <w:t>article</w:t>
      </w:r>
      <w:r w:rsidR="008068D5" w:rsidRPr="00FC71C0">
        <w:rPr>
          <w:lang w:val="fr-FR"/>
        </w:rPr>
        <w:t> </w:t>
      </w:r>
      <w:r w:rsidR="002703CE" w:rsidRPr="00FC71C0">
        <w:rPr>
          <w:lang w:val="fr-FR"/>
        </w:rPr>
        <w:t>8 de la Convention. Elle estime toutefois que la somme réclamée à ce titre est excessive. Eu égard à l</w:t>
      </w:r>
      <w:r w:rsidR="00F20289">
        <w:rPr>
          <w:lang w:val="fr-FR"/>
        </w:rPr>
        <w:t>’</w:t>
      </w:r>
      <w:r w:rsidR="002703CE" w:rsidRPr="00FC71C0">
        <w:rPr>
          <w:lang w:val="fr-FR"/>
        </w:rPr>
        <w:t>ensemble des éléments dont elle dispose et statuant en équité, comme le veut l</w:t>
      </w:r>
      <w:r w:rsidR="00F20289">
        <w:rPr>
          <w:lang w:val="fr-FR"/>
        </w:rPr>
        <w:t>’</w:t>
      </w:r>
      <w:r w:rsidR="002703CE" w:rsidRPr="00FC71C0">
        <w:rPr>
          <w:lang w:val="fr-FR"/>
        </w:rPr>
        <w:t>article</w:t>
      </w:r>
      <w:r w:rsidR="008068D5" w:rsidRPr="00FC71C0">
        <w:rPr>
          <w:lang w:val="fr-FR"/>
        </w:rPr>
        <w:t> </w:t>
      </w:r>
      <w:r w:rsidR="002703CE" w:rsidRPr="00FC71C0">
        <w:rPr>
          <w:lang w:val="fr-FR"/>
        </w:rPr>
        <w:t>41 de la Convention, elle alloue aux intéressés la somme de 16 000</w:t>
      </w:r>
      <w:r w:rsidR="008068D5" w:rsidRPr="00FC71C0">
        <w:rPr>
          <w:lang w:val="fr-FR"/>
        </w:rPr>
        <w:t> </w:t>
      </w:r>
      <w:r w:rsidR="002703CE" w:rsidRPr="00FC71C0">
        <w:rPr>
          <w:lang w:val="fr-FR"/>
        </w:rPr>
        <w:t>EUR.</w:t>
      </w:r>
    </w:p>
    <w:p w:rsidR="00E77CB3" w:rsidRPr="00FC71C0" w:rsidRDefault="00E77CB3" w:rsidP="00FC71C0">
      <w:pPr>
        <w:pStyle w:val="ECHRHeading2"/>
        <w:rPr>
          <w:lang w:val="fr-FR"/>
        </w:rPr>
      </w:pPr>
      <w:r w:rsidRPr="00FC71C0">
        <w:rPr>
          <w:lang w:val="fr-FR"/>
        </w:rPr>
        <w:t>B.  Frais et dépens</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65</w:t>
      </w:r>
      <w:r w:rsidRPr="00FC71C0">
        <w:rPr>
          <w:lang w:val="fr-FR"/>
        </w:rPr>
        <w:fldChar w:fldCharType="end"/>
      </w:r>
      <w:r w:rsidR="00E77CB3" w:rsidRPr="00FC71C0">
        <w:rPr>
          <w:lang w:val="fr-FR"/>
        </w:rPr>
        <w:t>.  </w:t>
      </w:r>
      <w:r w:rsidRPr="00FC71C0">
        <w:rPr>
          <w:lang w:val="fr-FR"/>
        </w:rPr>
        <w:t>Les requérants</w:t>
      </w:r>
      <w:r w:rsidR="00E77CB3" w:rsidRPr="00FC71C0">
        <w:rPr>
          <w:lang w:val="fr-FR"/>
        </w:rPr>
        <w:t xml:space="preserve"> demande</w:t>
      </w:r>
      <w:r w:rsidRPr="00FC71C0">
        <w:rPr>
          <w:lang w:val="fr-FR"/>
        </w:rPr>
        <w:t>nt</w:t>
      </w:r>
      <w:r w:rsidR="00E77CB3" w:rsidRPr="00FC71C0">
        <w:rPr>
          <w:lang w:val="fr-FR"/>
        </w:rPr>
        <w:t xml:space="preserve"> également </w:t>
      </w:r>
      <w:r w:rsidR="002703CE" w:rsidRPr="00FC71C0">
        <w:rPr>
          <w:lang w:val="fr-FR"/>
        </w:rPr>
        <w:t>11 325,60</w:t>
      </w:r>
      <w:r w:rsidR="008068D5" w:rsidRPr="00FC71C0">
        <w:rPr>
          <w:lang w:val="fr-FR"/>
        </w:rPr>
        <w:t> </w:t>
      </w:r>
      <w:r w:rsidR="00E77CB3" w:rsidRPr="00FC71C0">
        <w:rPr>
          <w:lang w:val="fr-FR"/>
        </w:rPr>
        <w:t>EUR pour les frais et dépens engagés devant les juridictions internes et devant la Cour.</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66</w:t>
      </w:r>
      <w:r w:rsidRPr="00FC71C0">
        <w:rPr>
          <w:lang w:val="fr-FR"/>
        </w:rPr>
        <w:fldChar w:fldCharType="end"/>
      </w:r>
      <w:r w:rsidR="0031348E" w:rsidRPr="00FC71C0">
        <w:rPr>
          <w:lang w:val="fr-FR"/>
        </w:rPr>
        <w:t>.  Le Gouvernement s</w:t>
      </w:r>
      <w:r w:rsidR="00F20289">
        <w:rPr>
          <w:lang w:val="fr-FR"/>
        </w:rPr>
        <w:t>’</w:t>
      </w:r>
      <w:r w:rsidR="0031348E" w:rsidRPr="00FC71C0">
        <w:rPr>
          <w:lang w:val="fr-FR"/>
        </w:rPr>
        <w:t>oppose à cette demande.</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67</w:t>
      </w:r>
      <w:r w:rsidRPr="00FC71C0">
        <w:rPr>
          <w:lang w:val="fr-FR"/>
        </w:rPr>
        <w:fldChar w:fldCharType="end"/>
      </w:r>
      <w:r w:rsidR="00E77CB3" w:rsidRPr="00FC71C0">
        <w:rPr>
          <w:lang w:val="fr-FR"/>
        </w:rPr>
        <w:t>.  </w:t>
      </w:r>
      <w:r w:rsidRPr="00FC71C0">
        <w:rPr>
          <w:lang w:val="fr-FR"/>
        </w:rPr>
        <w:t>Selon la jurisprudence de la Cour, un requérant ne peut obtenir le remboursement de ses frais et dépens que dans la mesure où se trouvent établis leur réalité, leur nécessité et le caractère raisonnable de leur taux. En l</w:t>
      </w:r>
      <w:r w:rsidR="00F20289">
        <w:rPr>
          <w:lang w:val="fr-FR"/>
        </w:rPr>
        <w:t>’</w:t>
      </w:r>
      <w:r w:rsidRPr="00FC71C0">
        <w:rPr>
          <w:lang w:val="fr-FR"/>
        </w:rPr>
        <w:t>espèce et compte</w:t>
      </w:r>
      <w:r w:rsidR="00E77CB3" w:rsidRPr="00FC71C0">
        <w:rPr>
          <w:lang w:val="fr-FR"/>
        </w:rPr>
        <w:t xml:space="preserve"> tenu des documents en sa possession et de sa jurisprudence, la Cour estime raisonnable </w:t>
      </w:r>
      <w:r w:rsidR="004A488F" w:rsidRPr="00FC71C0">
        <w:rPr>
          <w:lang w:val="fr-FR"/>
        </w:rPr>
        <w:t>d</w:t>
      </w:r>
      <w:r w:rsidR="00F20289">
        <w:rPr>
          <w:lang w:val="fr-FR"/>
        </w:rPr>
        <w:t>’</w:t>
      </w:r>
      <w:r w:rsidR="004A488F" w:rsidRPr="00FC71C0">
        <w:rPr>
          <w:lang w:val="fr-FR"/>
        </w:rPr>
        <w:t>allouer au</w:t>
      </w:r>
      <w:r w:rsidR="009D24A6" w:rsidRPr="00FC71C0">
        <w:rPr>
          <w:lang w:val="fr-FR"/>
        </w:rPr>
        <w:t>x</w:t>
      </w:r>
      <w:r w:rsidR="004A488F" w:rsidRPr="00FC71C0">
        <w:rPr>
          <w:lang w:val="fr-FR"/>
        </w:rPr>
        <w:t xml:space="preserve"> requérant</w:t>
      </w:r>
      <w:r w:rsidR="009D24A6" w:rsidRPr="00FC71C0">
        <w:rPr>
          <w:lang w:val="fr-FR"/>
        </w:rPr>
        <w:t>s</w:t>
      </w:r>
      <w:r w:rsidR="004A488F" w:rsidRPr="00FC71C0">
        <w:rPr>
          <w:lang w:val="fr-FR"/>
        </w:rPr>
        <w:t xml:space="preserve"> </w:t>
      </w:r>
      <w:r w:rsidR="00E77CB3" w:rsidRPr="00FC71C0">
        <w:rPr>
          <w:lang w:val="fr-FR"/>
        </w:rPr>
        <w:t xml:space="preserve">la somme de </w:t>
      </w:r>
      <w:r w:rsidR="004A488F" w:rsidRPr="00FC71C0">
        <w:rPr>
          <w:lang w:val="fr-FR"/>
        </w:rPr>
        <w:t>5 000</w:t>
      </w:r>
      <w:r w:rsidR="008068D5" w:rsidRPr="00FC71C0">
        <w:rPr>
          <w:lang w:val="fr-FR"/>
        </w:rPr>
        <w:t> </w:t>
      </w:r>
      <w:r w:rsidR="00E77CB3" w:rsidRPr="00FC71C0">
        <w:rPr>
          <w:lang w:val="fr-FR"/>
        </w:rPr>
        <w:t>EUR.</w:t>
      </w:r>
    </w:p>
    <w:p w:rsidR="00E77CB3" w:rsidRPr="00FC71C0" w:rsidRDefault="00E77CB3" w:rsidP="00FC71C0">
      <w:pPr>
        <w:pStyle w:val="ECHRHeading2"/>
        <w:rPr>
          <w:lang w:val="fr-FR"/>
        </w:rPr>
      </w:pPr>
      <w:r w:rsidRPr="00FC71C0">
        <w:rPr>
          <w:lang w:val="fr-FR"/>
        </w:rPr>
        <w:t>C.  Intérêts moratoires</w:t>
      </w:r>
    </w:p>
    <w:p w:rsidR="00E77CB3" w:rsidRPr="00FC71C0" w:rsidRDefault="00802E33" w:rsidP="00FC71C0">
      <w:pPr>
        <w:pStyle w:val="ECHRPara"/>
        <w:rPr>
          <w:lang w:val="fr-FR"/>
        </w:rPr>
      </w:pPr>
      <w:r w:rsidRPr="00FC71C0">
        <w:rPr>
          <w:lang w:val="fr-FR"/>
        </w:rPr>
        <w:fldChar w:fldCharType="begin"/>
      </w:r>
      <w:r w:rsidRPr="00FC71C0">
        <w:rPr>
          <w:lang w:val="fr-FR"/>
        </w:rPr>
        <w:instrText xml:space="preserve"> SEQ level0 \*arabic </w:instrText>
      </w:r>
      <w:r w:rsidRPr="00FC71C0">
        <w:rPr>
          <w:lang w:val="fr-FR"/>
        </w:rPr>
        <w:fldChar w:fldCharType="separate"/>
      </w:r>
      <w:r w:rsidR="00964EA9">
        <w:rPr>
          <w:noProof/>
          <w:lang w:val="fr-FR"/>
        </w:rPr>
        <w:t>68</w:t>
      </w:r>
      <w:r w:rsidRPr="00FC71C0">
        <w:rPr>
          <w:lang w:val="fr-FR"/>
        </w:rPr>
        <w:fldChar w:fldCharType="end"/>
      </w:r>
      <w:r w:rsidR="00E77CB3" w:rsidRPr="00FC71C0">
        <w:rPr>
          <w:lang w:val="fr-FR"/>
        </w:rPr>
        <w:t>.  La Cour juge approprié de calquer le taux des intérêts moratoires sur le taux d</w:t>
      </w:r>
      <w:r w:rsidR="00F20289">
        <w:rPr>
          <w:lang w:val="fr-FR"/>
        </w:rPr>
        <w:t>’</w:t>
      </w:r>
      <w:r w:rsidR="00E77CB3" w:rsidRPr="00FC71C0">
        <w:rPr>
          <w:lang w:val="fr-FR"/>
        </w:rPr>
        <w:t>intérêt de la facilité de prêt marginal de la Banque centrale européenne majoré de trois points de pourcentage.</w:t>
      </w:r>
    </w:p>
    <w:p w:rsidR="00FC71C0" w:rsidRPr="00FC71C0" w:rsidRDefault="004C3914" w:rsidP="00FC71C0">
      <w:pPr>
        <w:pStyle w:val="ECHRTitle1"/>
        <w:rPr>
          <w:lang w:val="fr-FR"/>
        </w:rPr>
      </w:pPr>
      <w:r w:rsidRPr="00FC71C0">
        <w:rPr>
          <w:lang w:val="fr-FR"/>
        </w:rPr>
        <w:t>PAR CES MOTIFS, LA COUR</w:t>
      </w:r>
      <w:r w:rsidR="00802E33" w:rsidRPr="00FC71C0">
        <w:rPr>
          <w:lang w:val="fr-FR"/>
        </w:rPr>
        <w:t>, À L</w:t>
      </w:r>
      <w:r w:rsidR="00F20289">
        <w:rPr>
          <w:lang w:val="fr-FR"/>
        </w:rPr>
        <w:t>’</w:t>
      </w:r>
      <w:r w:rsidR="00802E33" w:rsidRPr="00FC71C0">
        <w:rPr>
          <w:lang w:val="fr-FR"/>
        </w:rPr>
        <w:t>UNANIMITÉ,</w:t>
      </w:r>
    </w:p>
    <w:p w:rsidR="00E77CB3" w:rsidRPr="00FC71C0" w:rsidRDefault="00E77CB3" w:rsidP="00FC71C0">
      <w:pPr>
        <w:pStyle w:val="JuList"/>
        <w:rPr>
          <w:lang w:val="fr-FR"/>
        </w:rPr>
      </w:pPr>
      <w:r w:rsidRPr="00FC71C0">
        <w:rPr>
          <w:lang w:val="fr-FR"/>
        </w:rPr>
        <w:t>1.  </w:t>
      </w:r>
      <w:r w:rsidRPr="00FC71C0">
        <w:rPr>
          <w:i/>
          <w:lang w:val="fr-FR"/>
        </w:rPr>
        <w:t>Déclare</w:t>
      </w:r>
      <w:r w:rsidR="00802E33" w:rsidRPr="00FC71C0">
        <w:rPr>
          <w:lang w:val="fr-FR"/>
        </w:rPr>
        <w:t xml:space="preserve"> la requête recevable</w:t>
      </w:r>
      <w:r w:rsidRPr="00FC71C0">
        <w:rPr>
          <w:lang w:val="fr-FR"/>
        </w:rPr>
        <w:t> ;</w:t>
      </w:r>
    </w:p>
    <w:p w:rsidR="00E77CB3" w:rsidRPr="00FC71C0" w:rsidRDefault="00E77CB3" w:rsidP="00FC71C0">
      <w:pPr>
        <w:pStyle w:val="JuList"/>
        <w:rPr>
          <w:lang w:val="fr-FR"/>
        </w:rPr>
      </w:pPr>
    </w:p>
    <w:p w:rsidR="00E77CB3" w:rsidRPr="00FC71C0" w:rsidRDefault="004C3914" w:rsidP="00FC71C0">
      <w:pPr>
        <w:pStyle w:val="JuList"/>
        <w:rPr>
          <w:lang w:val="fr-FR"/>
        </w:rPr>
      </w:pPr>
      <w:r w:rsidRPr="00FC71C0">
        <w:rPr>
          <w:lang w:val="fr-FR"/>
        </w:rPr>
        <w:t>2</w:t>
      </w:r>
      <w:r w:rsidR="00E77CB3" w:rsidRPr="00FC71C0">
        <w:rPr>
          <w:lang w:val="fr-FR"/>
        </w:rPr>
        <w:t>.  </w:t>
      </w:r>
      <w:r w:rsidR="00E77CB3" w:rsidRPr="00FC71C0">
        <w:rPr>
          <w:i/>
          <w:lang w:val="fr-FR"/>
        </w:rPr>
        <w:t>Dit</w:t>
      </w:r>
      <w:r w:rsidR="00802E33" w:rsidRPr="00FC71C0">
        <w:rPr>
          <w:lang w:val="fr-FR"/>
        </w:rPr>
        <w:t xml:space="preserve"> </w:t>
      </w:r>
      <w:r w:rsidR="00E77CB3" w:rsidRPr="00FC71C0">
        <w:rPr>
          <w:lang w:val="fr-FR"/>
        </w:rPr>
        <w:t>qu</w:t>
      </w:r>
      <w:r w:rsidR="00F20289">
        <w:rPr>
          <w:lang w:val="fr-FR"/>
        </w:rPr>
        <w:t>’</w:t>
      </w:r>
      <w:r w:rsidR="00E77CB3" w:rsidRPr="00FC71C0">
        <w:rPr>
          <w:lang w:val="fr-FR"/>
        </w:rPr>
        <w:t>il y a eu violation de l</w:t>
      </w:r>
      <w:r w:rsidR="00F20289">
        <w:rPr>
          <w:lang w:val="fr-FR"/>
        </w:rPr>
        <w:t>’</w:t>
      </w:r>
      <w:r w:rsidR="00E77CB3" w:rsidRPr="00FC71C0">
        <w:rPr>
          <w:lang w:val="fr-FR"/>
        </w:rPr>
        <w:t>article</w:t>
      </w:r>
      <w:r w:rsidR="008068D5" w:rsidRPr="00FC71C0">
        <w:rPr>
          <w:lang w:val="fr-FR"/>
        </w:rPr>
        <w:t> </w:t>
      </w:r>
      <w:r w:rsidRPr="00FC71C0">
        <w:rPr>
          <w:lang w:val="fr-FR"/>
        </w:rPr>
        <w:t>8</w:t>
      </w:r>
      <w:r w:rsidR="00E77CB3" w:rsidRPr="00FC71C0">
        <w:rPr>
          <w:lang w:val="fr-FR"/>
        </w:rPr>
        <w:t xml:space="preserve"> de la Convention ;</w:t>
      </w:r>
    </w:p>
    <w:p w:rsidR="00E77CB3" w:rsidRPr="00FC71C0" w:rsidRDefault="00E77CB3" w:rsidP="00FC71C0">
      <w:pPr>
        <w:pStyle w:val="JuList"/>
        <w:rPr>
          <w:lang w:val="fr-FR"/>
        </w:rPr>
      </w:pPr>
    </w:p>
    <w:p w:rsidR="00FC71C0" w:rsidRPr="00FC71C0" w:rsidRDefault="004C3914" w:rsidP="00FC71C0">
      <w:pPr>
        <w:pStyle w:val="JuList"/>
        <w:rPr>
          <w:lang w:val="fr-FR"/>
        </w:rPr>
      </w:pPr>
      <w:r w:rsidRPr="00FC71C0">
        <w:rPr>
          <w:lang w:val="fr-FR"/>
        </w:rPr>
        <w:t>3</w:t>
      </w:r>
      <w:r w:rsidR="00E77CB3" w:rsidRPr="00FC71C0">
        <w:rPr>
          <w:lang w:val="fr-FR"/>
        </w:rPr>
        <w:t>.  </w:t>
      </w:r>
      <w:r w:rsidR="00E77CB3" w:rsidRPr="00FC71C0">
        <w:rPr>
          <w:i/>
          <w:lang w:val="fr-FR"/>
        </w:rPr>
        <w:t>Dit</w:t>
      </w:r>
    </w:p>
    <w:p w:rsidR="00E77CB3" w:rsidRPr="00FC71C0" w:rsidRDefault="00E77CB3" w:rsidP="00FC71C0">
      <w:pPr>
        <w:pStyle w:val="JuLista"/>
        <w:rPr>
          <w:lang w:val="fr-FR"/>
        </w:rPr>
      </w:pPr>
      <w:r w:rsidRPr="00FC71C0">
        <w:rPr>
          <w:lang w:val="fr-FR"/>
        </w:rPr>
        <w:t>a)  que l</w:t>
      </w:r>
      <w:r w:rsidR="00F20289">
        <w:rPr>
          <w:lang w:val="fr-FR"/>
        </w:rPr>
        <w:t>’</w:t>
      </w:r>
      <w:r w:rsidRPr="00FC71C0">
        <w:rPr>
          <w:lang w:val="fr-FR"/>
        </w:rPr>
        <w:t xml:space="preserve">État défendeur doit verser </w:t>
      </w:r>
      <w:r w:rsidR="00802E33" w:rsidRPr="00FC71C0">
        <w:rPr>
          <w:lang w:val="fr-FR"/>
        </w:rPr>
        <w:t>aux requérants</w:t>
      </w:r>
      <w:r w:rsidRPr="00FC71C0">
        <w:rPr>
          <w:lang w:val="fr-FR"/>
        </w:rPr>
        <w:t>, dans les trois mois</w:t>
      </w:r>
      <w:r w:rsidR="004C3914" w:rsidRPr="00FC71C0">
        <w:rPr>
          <w:lang w:val="fr-FR"/>
        </w:rPr>
        <w:t xml:space="preserve"> </w:t>
      </w:r>
      <w:r w:rsidR="00802E33" w:rsidRPr="00FC71C0">
        <w:rPr>
          <w:lang w:val="fr-FR"/>
        </w:rPr>
        <w:t>à compter du jour où l</w:t>
      </w:r>
      <w:r w:rsidR="00F20289">
        <w:rPr>
          <w:lang w:val="fr-FR"/>
        </w:rPr>
        <w:t>’</w:t>
      </w:r>
      <w:r w:rsidR="00802E33" w:rsidRPr="00FC71C0">
        <w:rPr>
          <w:lang w:val="fr-FR"/>
        </w:rPr>
        <w:t xml:space="preserve">arrêt sera devenu définitif </w:t>
      </w:r>
      <w:r w:rsidR="000F384C" w:rsidRPr="00FC71C0">
        <w:rPr>
          <w:lang w:val="fr-FR"/>
        </w:rPr>
        <w:t>en vertu de</w:t>
      </w:r>
      <w:r w:rsidR="00802E33" w:rsidRPr="00FC71C0">
        <w:rPr>
          <w:lang w:val="fr-FR"/>
        </w:rPr>
        <w:t xml:space="preserve"> l</w:t>
      </w:r>
      <w:r w:rsidR="00F20289">
        <w:rPr>
          <w:lang w:val="fr-FR"/>
        </w:rPr>
        <w:t>’</w:t>
      </w:r>
      <w:r w:rsidR="00802E33" w:rsidRPr="00FC71C0">
        <w:rPr>
          <w:lang w:val="fr-FR"/>
        </w:rPr>
        <w:t>article 44 § 2 de la Convention</w:t>
      </w:r>
      <w:r w:rsidRPr="00FC71C0">
        <w:rPr>
          <w:lang w:val="fr-FR"/>
        </w:rPr>
        <w:t>, les sommes suivantes) :</w:t>
      </w:r>
    </w:p>
    <w:p w:rsidR="00E77CB3" w:rsidRPr="00FC71C0" w:rsidRDefault="00E77CB3" w:rsidP="00FC71C0">
      <w:pPr>
        <w:pStyle w:val="JuListi"/>
        <w:rPr>
          <w:lang w:val="fr-FR" w:eastAsia="en-GB"/>
        </w:rPr>
      </w:pPr>
      <w:r w:rsidRPr="00FC71C0">
        <w:rPr>
          <w:lang w:val="fr-FR" w:eastAsia="en-GB"/>
        </w:rPr>
        <w:t>i)  </w:t>
      </w:r>
      <w:r w:rsidR="004C3914" w:rsidRPr="00FC71C0">
        <w:rPr>
          <w:lang w:val="fr-FR" w:eastAsia="en-GB"/>
        </w:rPr>
        <w:t>16</w:t>
      </w:r>
      <w:r w:rsidR="008068D5" w:rsidRPr="00FC71C0">
        <w:rPr>
          <w:lang w:val="fr-FR" w:eastAsia="en-GB"/>
        </w:rPr>
        <w:t> 000 </w:t>
      </w:r>
      <w:r w:rsidRPr="00FC71C0">
        <w:rPr>
          <w:lang w:val="fr-FR" w:eastAsia="en-GB"/>
        </w:rPr>
        <w:t>EUR (</w:t>
      </w:r>
      <w:r w:rsidR="004C3914" w:rsidRPr="00FC71C0">
        <w:rPr>
          <w:lang w:val="fr-FR" w:eastAsia="en-GB"/>
        </w:rPr>
        <w:t>seize mille euros)</w:t>
      </w:r>
      <w:r w:rsidRPr="00FC71C0">
        <w:rPr>
          <w:lang w:val="fr-FR" w:eastAsia="en-GB"/>
        </w:rPr>
        <w:t>, plus tout montant pouvant être dû à titre d</w:t>
      </w:r>
      <w:r w:rsidR="00F20289">
        <w:rPr>
          <w:lang w:val="fr-FR" w:eastAsia="en-GB"/>
        </w:rPr>
        <w:t>’</w:t>
      </w:r>
      <w:r w:rsidRPr="00FC71C0">
        <w:rPr>
          <w:lang w:val="fr-FR" w:eastAsia="en-GB"/>
        </w:rPr>
        <w:t>impôt,</w:t>
      </w:r>
      <w:r w:rsidR="004C3914" w:rsidRPr="00FC71C0">
        <w:rPr>
          <w:lang w:val="fr-FR" w:eastAsia="en-GB"/>
        </w:rPr>
        <w:t xml:space="preserve"> pour dommage moral</w:t>
      </w:r>
      <w:r w:rsidRPr="00FC71C0">
        <w:rPr>
          <w:lang w:val="fr-FR" w:eastAsia="en-GB"/>
        </w:rPr>
        <w:t> ;</w:t>
      </w:r>
    </w:p>
    <w:p w:rsidR="00E77CB3" w:rsidRPr="00FC71C0" w:rsidRDefault="00E77CB3" w:rsidP="00FC71C0">
      <w:pPr>
        <w:pStyle w:val="JuListi"/>
        <w:rPr>
          <w:lang w:val="fr-FR" w:eastAsia="en-GB"/>
        </w:rPr>
      </w:pPr>
      <w:r w:rsidRPr="00FC71C0">
        <w:rPr>
          <w:lang w:val="fr-FR" w:eastAsia="en-GB"/>
        </w:rPr>
        <w:t>ii)  </w:t>
      </w:r>
      <w:r w:rsidR="004C3914" w:rsidRPr="00FC71C0">
        <w:rPr>
          <w:lang w:val="fr-FR" w:eastAsia="en-GB"/>
        </w:rPr>
        <w:t>5 000</w:t>
      </w:r>
      <w:r w:rsidR="008068D5" w:rsidRPr="00FC71C0">
        <w:rPr>
          <w:lang w:val="fr-FR" w:eastAsia="en-GB"/>
        </w:rPr>
        <w:t> </w:t>
      </w:r>
      <w:r w:rsidRPr="00FC71C0">
        <w:rPr>
          <w:lang w:val="fr-FR" w:eastAsia="en-GB"/>
        </w:rPr>
        <w:t>EUR (</w:t>
      </w:r>
      <w:r w:rsidR="004C3914" w:rsidRPr="00FC71C0">
        <w:rPr>
          <w:lang w:val="fr-FR" w:eastAsia="en-GB"/>
        </w:rPr>
        <w:t>cinq mille</w:t>
      </w:r>
      <w:r w:rsidRPr="00FC71C0">
        <w:rPr>
          <w:lang w:val="fr-FR" w:eastAsia="en-GB"/>
        </w:rPr>
        <w:t xml:space="preserve"> euros), plus tout montant pouvant être dû à titre d</w:t>
      </w:r>
      <w:r w:rsidR="00F20289">
        <w:rPr>
          <w:lang w:val="fr-FR" w:eastAsia="en-GB"/>
        </w:rPr>
        <w:t>’</w:t>
      </w:r>
      <w:r w:rsidRPr="00FC71C0">
        <w:rPr>
          <w:lang w:val="fr-FR" w:eastAsia="en-GB"/>
        </w:rPr>
        <w:t>impôt par le</w:t>
      </w:r>
      <w:r w:rsidR="000016D6" w:rsidRPr="00FC71C0">
        <w:rPr>
          <w:lang w:val="fr-FR" w:eastAsia="en-GB"/>
        </w:rPr>
        <w:t>s requéran</w:t>
      </w:r>
      <w:r w:rsidRPr="00FC71C0">
        <w:rPr>
          <w:lang w:val="fr-FR" w:eastAsia="en-GB"/>
        </w:rPr>
        <w:t>t</w:t>
      </w:r>
      <w:r w:rsidR="000016D6" w:rsidRPr="00FC71C0">
        <w:rPr>
          <w:lang w:val="fr-FR" w:eastAsia="en-GB"/>
        </w:rPr>
        <w:t>s</w:t>
      </w:r>
      <w:r w:rsidRPr="00FC71C0">
        <w:rPr>
          <w:lang w:val="fr-FR" w:eastAsia="en-GB"/>
        </w:rPr>
        <w:t>, pour frais et dépens ;</w:t>
      </w:r>
    </w:p>
    <w:p w:rsidR="00E77CB3" w:rsidRPr="00FC71C0" w:rsidRDefault="00E77CB3" w:rsidP="00FC71C0">
      <w:pPr>
        <w:pStyle w:val="JuLista"/>
        <w:rPr>
          <w:lang w:val="fr-FR"/>
        </w:rPr>
      </w:pPr>
      <w:r w:rsidRPr="00FC71C0">
        <w:rPr>
          <w:lang w:val="fr-FR"/>
        </w:rPr>
        <w:t>b)  qu</w:t>
      </w:r>
      <w:r w:rsidR="00F20289">
        <w:rPr>
          <w:lang w:val="fr-FR"/>
        </w:rPr>
        <w:t>’</w:t>
      </w:r>
      <w:r w:rsidRPr="00FC71C0">
        <w:rPr>
          <w:lang w:val="fr-FR"/>
        </w:rPr>
        <w:t>à compter de l</w:t>
      </w:r>
      <w:r w:rsidR="00F20289">
        <w:rPr>
          <w:lang w:val="fr-FR"/>
        </w:rPr>
        <w:t>’</w:t>
      </w:r>
      <w:r w:rsidRPr="00FC71C0">
        <w:rPr>
          <w:lang w:val="fr-FR"/>
        </w:rPr>
        <w:t xml:space="preserve">expiration </w:t>
      </w:r>
      <w:r w:rsidR="000F384C" w:rsidRPr="00FC71C0">
        <w:rPr>
          <w:lang w:val="fr-FR"/>
        </w:rPr>
        <w:t>de ce</w:t>
      </w:r>
      <w:r w:rsidRPr="00FC71C0">
        <w:rPr>
          <w:lang w:val="fr-FR"/>
        </w:rPr>
        <w:t xml:space="preserve"> délai et jusqu</w:t>
      </w:r>
      <w:r w:rsidR="00F20289">
        <w:rPr>
          <w:lang w:val="fr-FR"/>
        </w:rPr>
        <w:t>’</w:t>
      </w:r>
      <w:r w:rsidRPr="00FC71C0">
        <w:rPr>
          <w:lang w:val="fr-FR"/>
        </w:rPr>
        <w:t>au versement, ces montants seront à majorer d</w:t>
      </w:r>
      <w:r w:rsidR="00F20289">
        <w:rPr>
          <w:lang w:val="fr-FR"/>
        </w:rPr>
        <w:t>’</w:t>
      </w:r>
      <w:r w:rsidRPr="00FC71C0">
        <w:rPr>
          <w:lang w:val="fr-FR"/>
        </w:rPr>
        <w:t>un intérêt simple à un taux égal à celui de la facilité de prêt marginal de la Banque centrale européenne applicable pendant cette période, augmenté de trois points de pourcentage ;</w:t>
      </w:r>
    </w:p>
    <w:p w:rsidR="00E77CB3" w:rsidRPr="00FC71C0" w:rsidRDefault="00E77CB3" w:rsidP="00FC71C0">
      <w:pPr>
        <w:pStyle w:val="JuLista"/>
        <w:rPr>
          <w:lang w:val="fr-FR"/>
        </w:rPr>
      </w:pPr>
    </w:p>
    <w:p w:rsidR="00E77CB3" w:rsidRPr="00FC71C0" w:rsidRDefault="004C3914" w:rsidP="00FC71C0">
      <w:pPr>
        <w:pStyle w:val="JuList"/>
        <w:rPr>
          <w:lang w:val="fr-FR"/>
        </w:rPr>
      </w:pPr>
      <w:r w:rsidRPr="00FC71C0">
        <w:rPr>
          <w:lang w:val="fr-FR"/>
        </w:rPr>
        <w:t>4</w:t>
      </w:r>
      <w:r w:rsidR="00E77CB3" w:rsidRPr="00FC71C0">
        <w:rPr>
          <w:lang w:val="fr-FR"/>
        </w:rPr>
        <w:t>.  </w:t>
      </w:r>
      <w:r w:rsidR="00E77CB3" w:rsidRPr="00FC71C0">
        <w:rPr>
          <w:i/>
          <w:lang w:val="fr-FR"/>
        </w:rPr>
        <w:t>Rejette</w:t>
      </w:r>
      <w:r w:rsidR="00802E33" w:rsidRPr="00FC71C0">
        <w:rPr>
          <w:lang w:val="fr-FR"/>
        </w:rPr>
        <w:t xml:space="preserve"> </w:t>
      </w:r>
      <w:r w:rsidR="00E77CB3" w:rsidRPr="00FC71C0">
        <w:rPr>
          <w:lang w:val="fr-FR"/>
        </w:rPr>
        <w:t>la demande de satisfaction équitable pour le surplus.</w:t>
      </w:r>
    </w:p>
    <w:p w:rsidR="00E77CB3" w:rsidRPr="00FC71C0" w:rsidRDefault="00E77CB3" w:rsidP="00FC71C0">
      <w:pPr>
        <w:pStyle w:val="JuParaLast"/>
        <w:rPr>
          <w:lang w:val="fr-FR"/>
        </w:rPr>
      </w:pPr>
      <w:r w:rsidRPr="00FC71C0">
        <w:rPr>
          <w:lang w:val="fr-FR"/>
        </w:rPr>
        <w:t>Fait en français, puis communiqué par écrit le </w:t>
      </w:r>
      <w:r w:rsidR="00053C1C" w:rsidRPr="00FC71C0">
        <w:rPr>
          <w:lang w:val="fr-FR"/>
        </w:rPr>
        <w:t>20 janvier 2015</w:t>
      </w:r>
      <w:r w:rsidRPr="00FC71C0">
        <w:rPr>
          <w:lang w:val="fr-FR"/>
        </w:rPr>
        <w:t>, en application de l</w:t>
      </w:r>
      <w:r w:rsidR="00F20289">
        <w:rPr>
          <w:lang w:val="fr-FR"/>
        </w:rPr>
        <w:t>’</w:t>
      </w:r>
      <w:r w:rsidRPr="00FC71C0">
        <w:rPr>
          <w:lang w:val="fr-FR"/>
        </w:rPr>
        <w:t>article</w:t>
      </w:r>
      <w:r w:rsidR="008068D5" w:rsidRPr="00FC71C0">
        <w:rPr>
          <w:lang w:val="fr-FR"/>
        </w:rPr>
        <w:t> </w:t>
      </w:r>
      <w:r w:rsidRPr="00FC71C0">
        <w:rPr>
          <w:lang w:val="fr-FR"/>
        </w:rPr>
        <w:t>77 §§</w:t>
      </w:r>
      <w:r w:rsidR="008068D5" w:rsidRPr="00FC71C0">
        <w:rPr>
          <w:lang w:val="fr-FR"/>
        </w:rPr>
        <w:t> </w:t>
      </w:r>
      <w:r w:rsidRPr="00FC71C0">
        <w:rPr>
          <w:lang w:val="fr-FR"/>
        </w:rPr>
        <w:t>2 et 3 du règlement.</w:t>
      </w:r>
    </w:p>
    <w:p w:rsidR="004D15F3" w:rsidRPr="00FC71C0" w:rsidRDefault="00802E33" w:rsidP="00FC71C0">
      <w:pPr>
        <w:pStyle w:val="JuSigned"/>
        <w:keepNext/>
        <w:keepLines/>
        <w:rPr>
          <w:lang w:val="fr-FR"/>
        </w:rPr>
      </w:pPr>
      <w:r w:rsidRPr="00FC71C0">
        <w:rPr>
          <w:lang w:val="fr-FR"/>
        </w:rPr>
        <w:tab/>
        <w:t>Stanley Naismith</w:t>
      </w:r>
      <w:r w:rsidR="00E77CB3" w:rsidRPr="00FC71C0">
        <w:rPr>
          <w:lang w:val="fr-FR"/>
        </w:rPr>
        <w:tab/>
      </w:r>
      <w:r w:rsidRPr="00FC71C0">
        <w:rPr>
          <w:szCs w:val="24"/>
          <w:lang w:val="fr-FR"/>
        </w:rPr>
        <w:t>Işıl Karakaş</w:t>
      </w:r>
      <w:r w:rsidR="00E77CB3" w:rsidRPr="00FC71C0">
        <w:rPr>
          <w:lang w:val="fr-FR"/>
        </w:rPr>
        <w:br/>
      </w:r>
      <w:r w:rsidR="00E77CB3" w:rsidRPr="00FC71C0">
        <w:rPr>
          <w:lang w:val="fr-FR"/>
        </w:rPr>
        <w:tab/>
      </w:r>
      <w:r w:rsidRPr="00FC71C0">
        <w:rPr>
          <w:lang w:val="fr-FR"/>
        </w:rPr>
        <w:t>Greffier</w:t>
      </w:r>
      <w:r w:rsidR="00E77CB3" w:rsidRPr="00FC71C0">
        <w:rPr>
          <w:lang w:val="fr-FR"/>
        </w:rPr>
        <w:tab/>
      </w:r>
      <w:r w:rsidRPr="00FC71C0">
        <w:rPr>
          <w:lang w:val="fr-FR"/>
        </w:rPr>
        <w:t>Présidente</w:t>
      </w:r>
    </w:p>
    <w:sectPr w:rsidR="004D15F3" w:rsidRPr="00FC71C0" w:rsidSect="00093A1F">
      <w:headerReference w:type="even" r:id="rId15"/>
      <w:headerReference w:type="defaul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E5" w:rsidRDefault="00073EE5" w:rsidP="00E77CB3">
      <w:r>
        <w:separator/>
      </w:r>
    </w:p>
  </w:endnote>
  <w:endnote w:type="continuationSeparator" w:id="0">
    <w:p w:rsidR="00073EE5" w:rsidRDefault="00073EE5"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C0" w:rsidRPr="00150BFA" w:rsidRDefault="00FC71C0" w:rsidP="00093A1F">
    <w:pPr>
      <w:jc w:val="center"/>
    </w:pPr>
    <w:r>
      <w:rPr>
        <w:noProof/>
        <w:lang w:val="fr-FR" w:eastAsia="fr-FR"/>
      </w:rPr>
      <w:drawing>
        <wp:inline distT="0" distB="0" distL="0" distR="0" wp14:anchorId="19565E0C" wp14:editId="2162B5B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C71C0" w:rsidRDefault="00FC71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E5" w:rsidRDefault="00073EE5" w:rsidP="00E77CB3">
      <w:r>
        <w:separator/>
      </w:r>
    </w:p>
  </w:footnote>
  <w:footnote w:type="continuationSeparator" w:id="0">
    <w:p w:rsidR="00073EE5" w:rsidRDefault="00073EE5"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C0" w:rsidRPr="00093A1F" w:rsidRDefault="00FC71C0" w:rsidP="00093A1F">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C0" w:rsidRPr="00A45145" w:rsidRDefault="00FC71C0" w:rsidP="00093A1F">
    <w:pPr>
      <w:jc w:val="center"/>
    </w:pPr>
    <w:r>
      <w:rPr>
        <w:noProof/>
        <w:lang w:val="fr-FR" w:eastAsia="fr-FR"/>
      </w:rPr>
      <w:drawing>
        <wp:inline distT="0" distB="0" distL="0" distR="0" wp14:anchorId="37454DD4" wp14:editId="78C7856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C71C0" w:rsidRDefault="00FC71C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C0" w:rsidRPr="00965AD5" w:rsidRDefault="00FC71C0" w:rsidP="00C611D8">
    <w:pPr>
      <w:pStyle w:val="ECHRHeader"/>
      <w:rPr>
        <w:lang w:val="fr-FR"/>
      </w:rPr>
    </w:pPr>
    <w:r>
      <w:rPr>
        <w:rStyle w:val="Numeropagina"/>
      </w:rPr>
      <w:fldChar w:fldCharType="begin"/>
    </w:r>
    <w:r w:rsidRPr="00965AD5">
      <w:rPr>
        <w:rStyle w:val="Numeropagina"/>
        <w:lang w:val="fr-FR"/>
      </w:rPr>
      <w:instrText xml:space="preserve"> PAGE </w:instrText>
    </w:r>
    <w:r>
      <w:rPr>
        <w:rStyle w:val="Numeropagina"/>
      </w:rPr>
      <w:fldChar w:fldCharType="separate"/>
    </w:r>
    <w:r w:rsidR="008F033F">
      <w:rPr>
        <w:rStyle w:val="Numeropagina"/>
        <w:noProof/>
        <w:lang w:val="fr-FR"/>
      </w:rPr>
      <w:t>12</w:t>
    </w:r>
    <w:r>
      <w:rPr>
        <w:rStyle w:val="Numeropagina"/>
      </w:rPr>
      <w:fldChar w:fldCharType="end"/>
    </w:r>
    <w:r w:rsidRPr="00965AD5">
      <w:rPr>
        <w:rStyle w:val="Numeropagina"/>
        <w:lang w:val="fr-FR"/>
      </w:rPr>
      <w:tab/>
    </w:r>
    <w:r>
      <w:rPr>
        <w:noProof/>
        <w:lang w:val="fr-FR"/>
      </w:rPr>
      <w:t>ARRÊT</w:t>
    </w:r>
    <w:r w:rsidRPr="00965AD5">
      <w:rPr>
        <w:lang w:val="fr-FR"/>
      </w:rPr>
      <w:t xml:space="preserve"> MANUELLO ET NEVI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C0" w:rsidRPr="00A10383" w:rsidRDefault="00FC71C0" w:rsidP="00C63990">
    <w:pPr>
      <w:pStyle w:val="ECHRHeader"/>
      <w:rPr>
        <w:lang w:val="fr-FR"/>
      </w:rPr>
    </w:pPr>
    <w:r w:rsidRPr="00C63990">
      <w:rPr>
        <w:lang w:val="fr-FR"/>
      </w:rPr>
      <w:tab/>
    </w:r>
    <w:r>
      <w:rPr>
        <w:noProof/>
        <w:lang w:val="fr-FR"/>
      </w:rPr>
      <w:t>ARRÊT</w:t>
    </w:r>
    <w:r w:rsidRPr="00A10383">
      <w:rPr>
        <w:lang w:val="fr-FR"/>
      </w:rPr>
      <w:t xml:space="preserve"> MANUELLO ET NEVI c. ITALIE</w:t>
    </w:r>
    <w:r w:rsidRPr="00A10383">
      <w:rPr>
        <w:lang w:val="fr-FR"/>
      </w:rPr>
      <w:tab/>
    </w:r>
    <w:r>
      <w:rPr>
        <w:rStyle w:val="Numeropagina"/>
      </w:rPr>
      <w:fldChar w:fldCharType="begin"/>
    </w:r>
    <w:r w:rsidRPr="00A10383">
      <w:rPr>
        <w:rStyle w:val="Numeropagina"/>
        <w:lang w:val="fr-FR"/>
      </w:rPr>
      <w:instrText xml:space="preserve"> PAGE </w:instrText>
    </w:r>
    <w:r>
      <w:rPr>
        <w:rStyle w:val="Numeropagina"/>
      </w:rPr>
      <w:fldChar w:fldCharType="separate"/>
    </w:r>
    <w:r w:rsidR="008F033F">
      <w:rPr>
        <w:rStyle w:val="Numeropagina"/>
        <w:noProof/>
        <w:lang w:val="fr-FR"/>
      </w:rPr>
      <w:t>11</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02E33"/>
    <w:rsid w:val="000016D6"/>
    <w:rsid w:val="0000235A"/>
    <w:rsid w:val="000032AA"/>
    <w:rsid w:val="000041F8"/>
    <w:rsid w:val="000042A8"/>
    <w:rsid w:val="00004308"/>
    <w:rsid w:val="00005BF0"/>
    <w:rsid w:val="00007154"/>
    <w:rsid w:val="000103AE"/>
    <w:rsid w:val="00011D69"/>
    <w:rsid w:val="00012AD3"/>
    <w:rsid w:val="00015C2D"/>
    <w:rsid w:val="00015F00"/>
    <w:rsid w:val="00022C1D"/>
    <w:rsid w:val="00032F91"/>
    <w:rsid w:val="00034987"/>
    <w:rsid w:val="00037672"/>
    <w:rsid w:val="00046F4B"/>
    <w:rsid w:val="00053C1C"/>
    <w:rsid w:val="000602DF"/>
    <w:rsid w:val="00060F13"/>
    <w:rsid w:val="00061B05"/>
    <w:rsid w:val="000632D5"/>
    <w:rsid w:val="000644EE"/>
    <w:rsid w:val="0006452A"/>
    <w:rsid w:val="00066A71"/>
    <w:rsid w:val="0007140C"/>
    <w:rsid w:val="000728A3"/>
    <w:rsid w:val="00073EE5"/>
    <w:rsid w:val="0007578A"/>
    <w:rsid w:val="00081483"/>
    <w:rsid w:val="000925AD"/>
    <w:rsid w:val="00093A1F"/>
    <w:rsid w:val="000A24EB"/>
    <w:rsid w:val="000B6923"/>
    <w:rsid w:val="000C5F3C"/>
    <w:rsid w:val="000C6DCC"/>
    <w:rsid w:val="000D47AA"/>
    <w:rsid w:val="000D721F"/>
    <w:rsid w:val="000E069B"/>
    <w:rsid w:val="000E0E82"/>
    <w:rsid w:val="000E1DC5"/>
    <w:rsid w:val="000E223F"/>
    <w:rsid w:val="000E3B87"/>
    <w:rsid w:val="000E3F09"/>
    <w:rsid w:val="000E4FB2"/>
    <w:rsid w:val="000E7D45"/>
    <w:rsid w:val="000F384C"/>
    <w:rsid w:val="000F7851"/>
    <w:rsid w:val="00104E23"/>
    <w:rsid w:val="00111511"/>
    <w:rsid w:val="00111B0C"/>
    <w:rsid w:val="00120D6C"/>
    <w:rsid w:val="00122D04"/>
    <w:rsid w:val="001233E0"/>
    <w:rsid w:val="001257EC"/>
    <w:rsid w:val="001276BD"/>
    <w:rsid w:val="00133D33"/>
    <w:rsid w:val="00134D64"/>
    <w:rsid w:val="00135A30"/>
    <w:rsid w:val="0013612C"/>
    <w:rsid w:val="00137FF6"/>
    <w:rsid w:val="00141650"/>
    <w:rsid w:val="00154F6C"/>
    <w:rsid w:val="00162A12"/>
    <w:rsid w:val="00166530"/>
    <w:rsid w:val="001832BD"/>
    <w:rsid w:val="001874F8"/>
    <w:rsid w:val="001936E7"/>
    <w:rsid w:val="001943B5"/>
    <w:rsid w:val="00194F7D"/>
    <w:rsid w:val="00195134"/>
    <w:rsid w:val="001A145B"/>
    <w:rsid w:val="001A674C"/>
    <w:rsid w:val="001A79A9"/>
    <w:rsid w:val="001B1A85"/>
    <w:rsid w:val="001B3B24"/>
    <w:rsid w:val="001C0F98"/>
    <w:rsid w:val="001C2A42"/>
    <w:rsid w:val="001D2190"/>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1E3"/>
    <w:rsid w:val="00230D00"/>
    <w:rsid w:val="00231DF7"/>
    <w:rsid w:val="00231E62"/>
    <w:rsid w:val="00231FD1"/>
    <w:rsid w:val="002339E0"/>
    <w:rsid w:val="00233CF8"/>
    <w:rsid w:val="00233D9C"/>
    <w:rsid w:val="0023575D"/>
    <w:rsid w:val="00237148"/>
    <w:rsid w:val="002421FB"/>
    <w:rsid w:val="0024222D"/>
    <w:rsid w:val="00244B0E"/>
    <w:rsid w:val="00244F6C"/>
    <w:rsid w:val="00245787"/>
    <w:rsid w:val="002532C5"/>
    <w:rsid w:val="00260C03"/>
    <w:rsid w:val="0026540E"/>
    <w:rsid w:val="002703CE"/>
    <w:rsid w:val="002728E3"/>
    <w:rsid w:val="00275123"/>
    <w:rsid w:val="00280747"/>
    <w:rsid w:val="00280863"/>
    <w:rsid w:val="00282240"/>
    <w:rsid w:val="00293DBF"/>
    <w:rsid w:val="002948AD"/>
    <w:rsid w:val="002976C6"/>
    <w:rsid w:val="002A01CC"/>
    <w:rsid w:val="002A53F8"/>
    <w:rsid w:val="002A61B1"/>
    <w:rsid w:val="002A663C"/>
    <w:rsid w:val="002A75B3"/>
    <w:rsid w:val="002B444B"/>
    <w:rsid w:val="002B5887"/>
    <w:rsid w:val="002C0E27"/>
    <w:rsid w:val="002C3040"/>
    <w:rsid w:val="002D022D"/>
    <w:rsid w:val="002D24BB"/>
    <w:rsid w:val="002D3090"/>
    <w:rsid w:val="002E02CB"/>
    <w:rsid w:val="002E6FEB"/>
    <w:rsid w:val="002F2AF7"/>
    <w:rsid w:val="002F4C48"/>
    <w:rsid w:val="002F7E1C"/>
    <w:rsid w:val="00301A75"/>
    <w:rsid w:val="00302F70"/>
    <w:rsid w:val="0030336F"/>
    <w:rsid w:val="0030375E"/>
    <w:rsid w:val="0030397D"/>
    <w:rsid w:val="0031246D"/>
    <w:rsid w:val="00312A30"/>
    <w:rsid w:val="0031348E"/>
    <w:rsid w:val="00320F72"/>
    <w:rsid w:val="0032463E"/>
    <w:rsid w:val="00326224"/>
    <w:rsid w:val="00331EF6"/>
    <w:rsid w:val="0033368E"/>
    <w:rsid w:val="00337EE4"/>
    <w:rsid w:val="00340FFD"/>
    <w:rsid w:val="003506B1"/>
    <w:rsid w:val="00356AC7"/>
    <w:rsid w:val="003608A6"/>
    <w:rsid w:val="003609FA"/>
    <w:rsid w:val="003710C8"/>
    <w:rsid w:val="003750BE"/>
    <w:rsid w:val="00376A13"/>
    <w:rsid w:val="00386866"/>
    <w:rsid w:val="00387B9D"/>
    <w:rsid w:val="0039364F"/>
    <w:rsid w:val="0039406D"/>
    <w:rsid w:val="00396686"/>
    <w:rsid w:val="00396FA6"/>
    <w:rsid w:val="0039778E"/>
    <w:rsid w:val="003A2465"/>
    <w:rsid w:val="003A33D3"/>
    <w:rsid w:val="003A4CBD"/>
    <w:rsid w:val="003B4941"/>
    <w:rsid w:val="003C03C6"/>
    <w:rsid w:val="003C5714"/>
    <w:rsid w:val="003C6B9F"/>
    <w:rsid w:val="003C6E2A"/>
    <w:rsid w:val="003D0299"/>
    <w:rsid w:val="003E3BCE"/>
    <w:rsid w:val="003E61C7"/>
    <w:rsid w:val="003E6D80"/>
    <w:rsid w:val="003F05FA"/>
    <w:rsid w:val="003F0F60"/>
    <w:rsid w:val="003F244A"/>
    <w:rsid w:val="003F30B8"/>
    <w:rsid w:val="003F4C45"/>
    <w:rsid w:val="003F5F7B"/>
    <w:rsid w:val="003F7D64"/>
    <w:rsid w:val="003F7DB0"/>
    <w:rsid w:val="00405C97"/>
    <w:rsid w:val="00414300"/>
    <w:rsid w:val="00417438"/>
    <w:rsid w:val="00421D73"/>
    <w:rsid w:val="00425C67"/>
    <w:rsid w:val="00427E7A"/>
    <w:rsid w:val="00431C40"/>
    <w:rsid w:val="00436C49"/>
    <w:rsid w:val="00445366"/>
    <w:rsid w:val="00447F5B"/>
    <w:rsid w:val="00451ED3"/>
    <w:rsid w:val="00461DB0"/>
    <w:rsid w:val="00463926"/>
    <w:rsid w:val="00464C9A"/>
    <w:rsid w:val="0047406A"/>
    <w:rsid w:val="00474F3D"/>
    <w:rsid w:val="00475EE7"/>
    <w:rsid w:val="00476422"/>
    <w:rsid w:val="00477E3A"/>
    <w:rsid w:val="00483E5F"/>
    <w:rsid w:val="00484413"/>
    <w:rsid w:val="00485AEE"/>
    <w:rsid w:val="00485FF9"/>
    <w:rsid w:val="004907F0"/>
    <w:rsid w:val="0049140B"/>
    <w:rsid w:val="004923A5"/>
    <w:rsid w:val="00496BFB"/>
    <w:rsid w:val="004A15C7"/>
    <w:rsid w:val="004A488F"/>
    <w:rsid w:val="004A6EEA"/>
    <w:rsid w:val="004B013B"/>
    <w:rsid w:val="004B06BA"/>
    <w:rsid w:val="004B112B"/>
    <w:rsid w:val="004C01E4"/>
    <w:rsid w:val="004C086C"/>
    <w:rsid w:val="004C1F56"/>
    <w:rsid w:val="004C27BC"/>
    <w:rsid w:val="004C2A5D"/>
    <w:rsid w:val="004C3914"/>
    <w:rsid w:val="004D15F3"/>
    <w:rsid w:val="004D5311"/>
    <w:rsid w:val="004D5DCC"/>
    <w:rsid w:val="004E3FC3"/>
    <w:rsid w:val="004F10AF"/>
    <w:rsid w:val="004F11A4"/>
    <w:rsid w:val="004F2389"/>
    <w:rsid w:val="004F2979"/>
    <w:rsid w:val="004F304D"/>
    <w:rsid w:val="004F61BE"/>
    <w:rsid w:val="004F66B1"/>
    <w:rsid w:val="005022AD"/>
    <w:rsid w:val="00511C07"/>
    <w:rsid w:val="005173A6"/>
    <w:rsid w:val="005202E3"/>
    <w:rsid w:val="00520BAA"/>
    <w:rsid w:val="00525208"/>
    <w:rsid w:val="005257A5"/>
    <w:rsid w:val="005264C0"/>
    <w:rsid w:val="00526A8A"/>
    <w:rsid w:val="00531DF2"/>
    <w:rsid w:val="005442EE"/>
    <w:rsid w:val="00547353"/>
    <w:rsid w:val="005474E7"/>
    <w:rsid w:val="005512A3"/>
    <w:rsid w:val="005578CE"/>
    <w:rsid w:val="005609F9"/>
    <w:rsid w:val="00562781"/>
    <w:rsid w:val="00562BAC"/>
    <w:rsid w:val="00563864"/>
    <w:rsid w:val="0057271C"/>
    <w:rsid w:val="00572845"/>
    <w:rsid w:val="0057500B"/>
    <w:rsid w:val="0058623D"/>
    <w:rsid w:val="00587CCA"/>
    <w:rsid w:val="00592772"/>
    <w:rsid w:val="0059574A"/>
    <w:rsid w:val="00596468"/>
    <w:rsid w:val="005A1B9B"/>
    <w:rsid w:val="005A2998"/>
    <w:rsid w:val="005A4B50"/>
    <w:rsid w:val="005A6751"/>
    <w:rsid w:val="005B092E"/>
    <w:rsid w:val="005B152C"/>
    <w:rsid w:val="005B1EE0"/>
    <w:rsid w:val="005B2B24"/>
    <w:rsid w:val="005B2D95"/>
    <w:rsid w:val="005B3233"/>
    <w:rsid w:val="005B4425"/>
    <w:rsid w:val="005B4B94"/>
    <w:rsid w:val="005B4CD5"/>
    <w:rsid w:val="005C3EE8"/>
    <w:rsid w:val="005C7DFB"/>
    <w:rsid w:val="005D2382"/>
    <w:rsid w:val="005D34F9"/>
    <w:rsid w:val="005D4190"/>
    <w:rsid w:val="005D67A3"/>
    <w:rsid w:val="005E2988"/>
    <w:rsid w:val="005E3085"/>
    <w:rsid w:val="005E6042"/>
    <w:rsid w:val="005F51E1"/>
    <w:rsid w:val="00611C80"/>
    <w:rsid w:val="00615C4A"/>
    <w:rsid w:val="00620692"/>
    <w:rsid w:val="00622E98"/>
    <w:rsid w:val="006242CA"/>
    <w:rsid w:val="00627507"/>
    <w:rsid w:val="00632EB5"/>
    <w:rsid w:val="00633717"/>
    <w:rsid w:val="006344E1"/>
    <w:rsid w:val="00636385"/>
    <w:rsid w:val="00644339"/>
    <w:rsid w:val="006545C4"/>
    <w:rsid w:val="00656608"/>
    <w:rsid w:val="00661971"/>
    <w:rsid w:val="00661CE8"/>
    <w:rsid w:val="006623D9"/>
    <w:rsid w:val="0066550C"/>
    <w:rsid w:val="00667B26"/>
    <w:rsid w:val="006716F2"/>
    <w:rsid w:val="00673284"/>
    <w:rsid w:val="00680DB9"/>
    <w:rsid w:val="00682BF2"/>
    <w:rsid w:val="006859CE"/>
    <w:rsid w:val="00691270"/>
    <w:rsid w:val="00693F22"/>
    <w:rsid w:val="00694BA8"/>
    <w:rsid w:val="006A037C"/>
    <w:rsid w:val="006A36F4"/>
    <w:rsid w:val="006A406F"/>
    <w:rsid w:val="006A5D3A"/>
    <w:rsid w:val="006A6346"/>
    <w:rsid w:val="006B4DDD"/>
    <w:rsid w:val="006B6D95"/>
    <w:rsid w:val="006C23D4"/>
    <w:rsid w:val="006C7BB0"/>
    <w:rsid w:val="006D3237"/>
    <w:rsid w:val="006D64DD"/>
    <w:rsid w:val="006E2E37"/>
    <w:rsid w:val="006E3CF1"/>
    <w:rsid w:val="006E7E80"/>
    <w:rsid w:val="006F48CA"/>
    <w:rsid w:val="006F64DD"/>
    <w:rsid w:val="007058FA"/>
    <w:rsid w:val="00715127"/>
    <w:rsid w:val="00715E8E"/>
    <w:rsid w:val="00717CCB"/>
    <w:rsid w:val="007213FE"/>
    <w:rsid w:val="00723580"/>
    <w:rsid w:val="00723755"/>
    <w:rsid w:val="0073136C"/>
    <w:rsid w:val="00731F0F"/>
    <w:rsid w:val="00733250"/>
    <w:rsid w:val="00741404"/>
    <w:rsid w:val="007449E5"/>
    <w:rsid w:val="00747FF0"/>
    <w:rsid w:val="00760E7F"/>
    <w:rsid w:val="007637AE"/>
    <w:rsid w:val="00764D4E"/>
    <w:rsid w:val="00765A1F"/>
    <w:rsid w:val="00775B6D"/>
    <w:rsid w:val="00776D1E"/>
    <w:rsid w:val="00776D68"/>
    <w:rsid w:val="007850EE"/>
    <w:rsid w:val="00785B95"/>
    <w:rsid w:val="0079093F"/>
    <w:rsid w:val="00790E96"/>
    <w:rsid w:val="00793366"/>
    <w:rsid w:val="007939A3"/>
    <w:rsid w:val="00794FBD"/>
    <w:rsid w:val="007950B8"/>
    <w:rsid w:val="007952DA"/>
    <w:rsid w:val="00796C29"/>
    <w:rsid w:val="007A716F"/>
    <w:rsid w:val="007A78A4"/>
    <w:rsid w:val="007B0D78"/>
    <w:rsid w:val="007B270A"/>
    <w:rsid w:val="007B4B56"/>
    <w:rsid w:val="007C0695"/>
    <w:rsid w:val="007C419A"/>
    <w:rsid w:val="007C4CC8"/>
    <w:rsid w:val="007C5120"/>
    <w:rsid w:val="007C5426"/>
    <w:rsid w:val="007C5798"/>
    <w:rsid w:val="007C6953"/>
    <w:rsid w:val="007D4832"/>
    <w:rsid w:val="007D75C8"/>
    <w:rsid w:val="007E21B2"/>
    <w:rsid w:val="007E2C4E"/>
    <w:rsid w:val="007E3497"/>
    <w:rsid w:val="007F04E9"/>
    <w:rsid w:val="007F1905"/>
    <w:rsid w:val="00801300"/>
    <w:rsid w:val="00802A66"/>
    <w:rsid w:val="00802C64"/>
    <w:rsid w:val="00802E33"/>
    <w:rsid w:val="00805E52"/>
    <w:rsid w:val="008061D0"/>
    <w:rsid w:val="0080680A"/>
    <w:rsid w:val="008068D5"/>
    <w:rsid w:val="00810B38"/>
    <w:rsid w:val="008129FA"/>
    <w:rsid w:val="008204C7"/>
    <w:rsid w:val="00820992"/>
    <w:rsid w:val="00823602"/>
    <w:rsid w:val="008255F5"/>
    <w:rsid w:val="0083014E"/>
    <w:rsid w:val="008314DD"/>
    <w:rsid w:val="0083214A"/>
    <w:rsid w:val="00834220"/>
    <w:rsid w:val="0084351A"/>
    <w:rsid w:val="00845723"/>
    <w:rsid w:val="00851EF9"/>
    <w:rsid w:val="008577FD"/>
    <w:rsid w:val="00860B03"/>
    <w:rsid w:val="0086497A"/>
    <w:rsid w:val="008713A1"/>
    <w:rsid w:val="008754AB"/>
    <w:rsid w:val="00880242"/>
    <w:rsid w:val="0088060C"/>
    <w:rsid w:val="00885B07"/>
    <w:rsid w:val="00893576"/>
    <w:rsid w:val="00893E73"/>
    <w:rsid w:val="00896C48"/>
    <w:rsid w:val="008A1519"/>
    <w:rsid w:val="008A39D6"/>
    <w:rsid w:val="008B02DC"/>
    <w:rsid w:val="008B57CE"/>
    <w:rsid w:val="008C26DE"/>
    <w:rsid w:val="008D2225"/>
    <w:rsid w:val="008D4752"/>
    <w:rsid w:val="008E271C"/>
    <w:rsid w:val="008E418E"/>
    <w:rsid w:val="008E5BC6"/>
    <w:rsid w:val="008E6A25"/>
    <w:rsid w:val="008E7E4E"/>
    <w:rsid w:val="008F033F"/>
    <w:rsid w:val="008F5193"/>
    <w:rsid w:val="009013A7"/>
    <w:rsid w:val="009017FB"/>
    <w:rsid w:val="009017FC"/>
    <w:rsid w:val="0090506B"/>
    <w:rsid w:val="009050C9"/>
    <w:rsid w:val="009066FC"/>
    <w:rsid w:val="009140A3"/>
    <w:rsid w:val="009144A2"/>
    <w:rsid w:val="0091510C"/>
    <w:rsid w:val="00921620"/>
    <w:rsid w:val="009259AC"/>
    <w:rsid w:val="00926F38"/>
    <w:rsid w:val="00934301"/>
    <w:rsid w:val="00936C2D"/>
    <w:rsid w:val="00936CD1"/>
    <w:rsid w:val="0094066D"/>
    <w:rsid w:val="00941747"/>
    <w:rsid w:val="00941EFB"/>
    <w:rsid w:val="00947AFB"/>
    <w:rsid w:val="00951D7D"/>
    <w:rsid w:val="009630C7"/>
    <w:rsid w:val="00964EA9"/>
    <w:rsid w:val="00965AD5"/>
    <w:rsid w:val="00966F53"/>
    <w:rsid w:val="00967AA6"/>
    <w:rsid w:val="00972B55"/>
    <w:rsid w:val="009743B7"/>
    <w:rsid w:val="00981632"/>
    <w:rsid w:val="0098228B"/>
    <w:rsid w:val="009828DA"/>
    <w:rsid w:val="00985BAB"/>
    <w:rsid w:val="009939AA"/>
    <w:rsid w:val="009A1D7A"/>
    <w:rsid w:val="009A266B"/>
    <w:rsid w:val="009B1B5F"/>
    <w:rsid w:val="009B6673"/>
    <w:rsid w:val="009C191B"/>
    <w:rsid w:val="009C2BD6"/>
    <w:rsid w:val="009D0D4A"/>
    <w:rsid w:val="009D24A6"/>
    <w:rsid w:val="009E1F32"/>
    <w:rsid w:val="009E3667"/>
    <w:rsid w:val="009E776C"/>
    <w:rsid w:val="009F6664"/>
    <w:rsid w:val="00A00161"/>
    <w:rsid w:val="00A04E01"/>
    <w:rsid w:val="00A10383"/>
    <w:rsid w:val="00A12253"/>
    <w:rsid w:val="00A1726E"/>
    <w:rsid w:val="00A204CF"/>
    <w:rsid w:val="00A2282F"/>
    <w:rsid w:val="00A23D49"/>
    <w:rsid w:val="00A27004"/>
    <w:rsid w:val="00A30C29"/>
    <w:rsid w:val="00A34DD6"/>
    <w:rsid w:val="00A36819"/>
    <w:rsid w:val="00A36989"/>
    <w:rsid w:val="00A41BEA"/>
    <w:rsid w:val="00A4328F"/>
    <w:rsid w:val="00A43628"/>
    <w:rsid w:val="00A43DAC"/>
    <w:rsid w:val="00A46340"/>
    <w:rsid w:val="00A54192"/>
    <w:rsid w:val="00A6035E"/>
    <w:rsid w:val="00A6144C"/>
    <w:rsid w:val="00A664C5"/>
    <w:rsid w:val="00A66617"/>
    <w:rsid w:val="00A671F8"/>
    <w:rsid w:val="00A673A4"/>
    <w:rsid w:val="00A724AE"/>
    <w:rsid w:val="00A73329"/>
    <w:rsid w:val="00A80CC0"/>
    <w:rsid w:val="00A82359"/>
    <w:rsid w:val="00A865D2"/>
    <w:rsid w:val="00A91769"/>
    <w:rsid w:val="00A94C20"/>
    <w:rsid w:val="00AA227F"/>
    <w:rsid w:val="00AA3BC7"/>
    <w:rsid w:val="00AA754A"/>
    <w:rsid w:val="00AB099E"/>
    <w:rsid w:val="00AB39C1"/>
    <w:rsid w:val="00AB42A2"/>
    <w:rsid w:val="00AB4328"/>
    <w:rsid w:val="00AC67F0"/>
    <w:rsid w:val="00AE0A2E"/>
    <w:rsid w:val="00AE354C"/>
    <w:rsid w:val="00AF06C9"/>
    <w:rsid w:val="00AF4B07"/>
    <w:rsid w:val="00AF6186"/>
    <w:rsid w:val="00AF7A3A"/>
    <w:rsid w:val="00B0501C"/>
    <w:rsid w:val="00B05D33"/>
    <w:rsid w:val="00B0647A"/>
    <w:rsid w:val="00B160DB"/>
    <w:rsid w:val="00B20836"/>
    <w:rsid w:val="00B235BB"/>
    <w:rsid w:val="00B24BF6"/>
    <w:rsid w:val="00B2714D"/>
    <w:rsid w:val="00B27A44"/>
    <w:rsid w:val="00B30BBF"/>
    <w:rsid w:val="00B33C03"/>
    <w:rsid w:val="00B44E56"/>
    <w:rsid w:val="00B454FB"/>
    <w:rsid w:val="00B46543"/>
    <w:rsid w:val="00B47D33"/>
    <w:rsid w:val="00B5010E"/>
    <w:rsid w:val="00B52BE0"/>
    <w:rsid w:val="00B54133"/>
    <w:rsid w:val="00B60572"/>
    <w:rsid w:val="00B60A4C"/>
    <w:rsid w:val="00B62069"/>
    <w:rsid w:val="00B66962"/>
    <w:rsid w:val="00B701ED"/>
    <w:rsid w:val="00B749C3"/>
    <w:rsid w:val="00B8086C"/>
    <w:rsid w:val="00B83DE6"/>
    <w:rsid w:val="00B861B4"/>
    <w:rsid w:val="00B86DFE"/>
    <w:rsid w:val="00B90990"/>
    <w:rsid w:val="00B922FF"/>
    <w:rsid w:val="00B9281E"/>
    <w:rsid w:val="00B92B35"/>
    <w:rsid w:val="00B93925"/>
    <w:rsid w:val="00B95187"/>
    <w:rsid w:val="00B9776F"/>
    <w:rsid w:val="00BA2D55"/>
    <w:rsid w:val="00BA71B1"/>
    <w:rsid w:val="00BB0637"/>
    <w:rsid w:val="00BB345F"/>
    <w:rsid w:val="00BB4A6C"/>
    <w:rsid w:val="00BB68EA"/>
    <w:rsid w:val="00BC1C27"/>
    <w:rsid w:val="00BC4A8F"/>
    <w:rsid w:val="00BC4D48"/>
    <w:rsid w:val="00BC6BBF"/>
    <w:rsid w:val="00BD1572"/>
    <w:rsid w:val="00BD25EF"/>
    <w:rsid w:val="00BE093F"/>
    <w:rsid w:val="00BE14E3"/>
    <w:rsid w:val="00BE245F"/>
    <w:rsid w:val="00BE3774"/>
    <w:rsid w:val="00BE41E5"/>
    <w:rsid w:val="00BF4109"/>
    <w:rsid w:val="00BF4CC3"/>
    <w:rsid w:val="00C054C7"/>
    <w:rsid w:val="00C057B5"/>
    <w:rsid w:val="00C06E15"/>
    <w:rsid w:val="00C1262B"/>
    <w:rsid w:val="00C21220"/>
    <w:rsid w:val="00C2124F"/>
    <w:rsid w:val="00C22687"/>
    <w:rsid w:val="00C32E4D"/>
    <w:rsid w:val="00C333A0"/>
    <w:rsid w:val="00C36408"/>
    <w:rsid w:val="00C36A81"/>
    <w:rsid w:val="00C41974"/>
    <w:rsid w:val="00C443C1"/>
    <w:rsid w:val="00C53F4A"/>
    <w:rsid w:val="00C54125"/>
    <w:rsid w:val="00C5461B"/>
    <w:rsid w:val="00C55B54"/>
    <w:rsid w:val="00C6098E"/>
    <w:rsid w:val="00C611D8"/>
    <w:rsid w:val="00C6152C"/>
    <w:rsid w:val="00C63990"/>
    <w:rsid w:val="00C64EF6"/>
    <w:rsid w:val="00C71D55"/>
    <w:rsid w:val="00C7470A"/>
    <w:rsid w:val="00C74810"/>
    <w:rsid w:val="00C90D68"/>
    <w:rsid w:val="00C939FE"/>
    <w:rsid w:val="00CA2A85"/>
    <w:rsid w:val="00CA4BDA"/>
    <w:rsid w:val="00CB1F66"/>
    <w:rsid w:val="00CB2951"/>
    <w:rsid w:val="00CB53C4"/>
    <w:rsid w:val="00CD282B"/>
    <w:rsid w:val="00CD31EB"/>
    <w:rsid w:val="00CD4C35"/>
    <w:rsid w:val="00CD7369"/>
    <w:rsid w:val="00CE0B0E"/>
    <w:rsid w:val="00CE3831"/>
    <w:rsid w:val="00CE3B17"/>
    <w:rsid w:val="00CF6D7D"/>
    <w:rsid w:val="00D00ABB"/>
    <w:rsid w:val="00D02EEC"/>
    <w:rsid w:val="00D03551"/>
    <w:rsid w:val="00D06A63"/>
    <w:rsid w:val="00D07E0E"/>
    <w:rsid w:val="00D10E77"/>
    <w:rsid w:val="00D11478"/>
    <w:rsid w:val="00D15ED0"/>
    <w:rsid w:val="00D20865"/>
    <w:rsid w:val="00D21B3E"/>
    <w:rsid w:val="00D21FED"/>
    <w:rsid w:val="00D24251"/>
    <w:rsid w:val="00D27C32"/>
    <w:rsid w:val="00D343E2"/>
    <w:rsid w:val="00D3443B"/>
    <w:rsid w:val="00D361A2"/>
    <w:rsid w:val="00D37C1F"/>
    <w:rsid w:val="00D44C2E"/>
    <w:rsid w:val="00D45414"/>
    <w:rsid w:val="00D5079D"/>
    <w:rsid w:val="00D5620B"/>
    <w:rsid w:val="00D566BD"/>
    <w:rsid w:val="00D57A4D"/>
    <w:rsid w:val="00D60AA7"/>
    <w:rsid w:val="00D6435F"/>
    <w:rsid w:val="00D67EF4"/>
    <w:rsid w:val="00D7015E"/>
    <w:rsid w:val="00D744EE"/>
    <w:rsid w:val="00D75E28"/>
    <w:rsid w:val="00D772C2"/>
    <w:rsid w:val="00D8008E"/>
    <w:rsid w:val="00D818E0"/>
    <w:rsid w:val="00D82C45"/>
    <w:rsid w:val="00D908A8"/>
    <w:rsid w:val="00D977B6"/>
    <w:rsid w:val="00DA0528"/>
    <w:rsid w:val="00DA1AC8"/>
    <w:rsid w:val="00DA4A31"/>
    <w:rsid w:val="00DA7B04"/>
    <w:rsid w:val="00DB36C2"/>
    <w:rsid w:val="00DC169B"/>
    <w:rsid w:val="00DC2AB9"/>
    <w:rsid w:val="00DC391D"/>
    <w:rsid w:val="00DC54BC"/>
    <w:rsid w:val="00DC63F0"/>
    <w:rsid w:val="00DD5146"/>
    <w:rsid w:val="00DD6EE5"/>
    <w:rsid w:val="00DE386C"/>
    <w:rsid w:val="00DE4D35"/>
    <w:rsid w:val="00DE4E94"/>
    <w:rsid w:val="00DF098B"/>
    <w:rsid w:val="00DF11C4"/>
    <w:rsid w:val="00DF210C"/>
    <w:rsid w:val="00DF4B6A"/>
    <w:rsid w:val="00DF5264"/>
    <w:rsid w:val="00E01E65"/>
    <w:rsid w:val="00E02C09"/>
    <w:rsid w:val="00E03E27"/>
    <w:rsid w:val="00E04D59"/>
    <w:rsid w:val="00E07DA1"/>
    <w:rsid w:val="00E123CB"/>
    <w:rsid w:val="00E20E13"/>
    <w:rsid w:val="00E21CF3"/>
    <w:rsid w:val="00E21DBC"/>
    <w:rsid w:val="00E25A64"/>
    <w:rsid w:val="00E275D7"/>
    <w:rsid w:val="00E27DBE"/>
    <w:rsid w:val="00E32AB1"/>
    <w:rsid w:val="00E36C71"/>
    <w:rsid w:val="00E40404"/>
    <w:rsid w:val="00E4529A"/>
    <w:rsid w:val="00E459C6"/>
    <w:rsid w:val="00E46CA6"/>
    <w:rsid w:val="00E47589"/>
    <w:rsid w:val="00E560BA"/>
    <w:rsid w:val="00E64915"/>
    <w:rsid w:val="00E661D4"/>
    <w:rsid w:val="00E70091"/>
    <w:rsid w:val="00E720F5"/>
    <w:rsid w:val="00E76D47"/>
    <w:rsid w:val="00E77CB3"/>
    <w:rsid w:val="00E849F7"/>
    <w:rsid w:val="00E90302"/>
    <w:rsid w:val="00E97396"/>
    <w:rsid w:val="00EA185E"/>
    <w:rsid w:val="00EA592A"/>
    <w:rsid w:val="00EB14E4"/>
    <w:rsid w:val="00EB318C"/>
    <w:rsid w:val="00EB32A5"/>
    <w:rsid w:val="00EB34ED"/>
    <w:rsid w:val="00EB7BE0"/>
    <w:rsid w:val="00EB7E63"/>
    <w:rsid w:val="00EC20B7"/>
    <w:rsid w:val="00EC315E"/>
    <w:rsid w:val="00ED077C"/>
    <w:rsid w:val="00ED1190"/>
    <w:rsid w:val="00ED6544"/>
    <w:rsid w:val="00EE0277"/>
    <w:rsid w:val="00EE09E4"/>
    <w:rsid w:val="00EE3E00"/>
    <w:rsid w:val="00EE5DD2"/>
    <w:rsid w:val="00F00A79"/>
    <w:rsid w:val="00F00E86"/>
    <w:rsid w:val="00F07C1E"/>
    <w:rsid w:val="00F105DB"/>
    <w:rsid w:val="00F1225D"/>
    <w:rsid w:val="00F132BC"/>
    <w:rsid w:val="00F13D80"/>
    <w:rsid w:val="00F1491D"/>
    <w:rsid w:val="00F16AAA"/>
    <w:rsid w:val="00F20289"/>
    <w:rsid w:val="00F21161"/>
    <w:rsid w:val="00F215F6"/>
    <w:rsid w:val="00F218EF"/>
    <w:rsid w:val="00F21BC7"/>
    <w:rsid w:val="00F23ECE"/>
    <w:rsid w:val="00F266A2"/>
    <w:rsid w:val="00F27E2E"/>
    <w:rsid w:val="00F32269"/>
    <w:rsid w:val="00F338D1"/>
    <w:rsid w:val="00F375A5"/>
    <w:rsid w:val="00F4332A"/>
    <w:rsid w:val="00F45CD4"/>
    <w:rsid w:val="00F53E91"/>
    <w:rsid w:val="00F56A6F"/>
    <w:rsid w:val="00F5709C"/>
    <w:rsid w:val="00F63E69"/>
    <w:rsid w:val="00F64CC9"/>
    <w:rsid w:val="00F64EF1"/>
    <w:rsid w:val="00F72626"/>
    <w:rsid w:val="00F8765F"/>
    <w:rsid w:val="00F90767"/>
    <w:rsid w:val="00F9651B"/>
    <w:rsid w:val="00FA0FA1"/>
    <w:rsid w:val="00FA685B"/>
    <w:rsid w:val="00FA77FC"/>
    <w:rsid w:val="00FB0C01"/>
    <w:rsid w:val="00FC18F2"/>
    <w:rsid w:val="00FC39E5"/>
    <w:rsid w:val="00FC3A78"/>
    <w:rsid w:val="00FC71C0"/>
    <w:rsid w:val="00FC73BD"/>
    <w:rsid w:val="00FC7914"/>
    <w:rsid w:val="00FD1005"/>
    <w:rsid w:val="00FD43EA"/>
    <w:rsid w:val="00FD6C75"/>
    <w:rsid w:val="00FE71B3"/>
    <w:rsid w:val="00FE7272"/>
    <w:rsid w:val="00FF069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FC71C0"/>
    <w:pPr>
      <w:jc w:val="both"/>
    </w:pPr>
    <w:rPr>
      <w:rFonts w:eastAsiaTheme="minorEastAsia"/>
      <w:sz w:val="24"/>
    </w:rPr>
  </w:style>
  <w:style w:type="paragraph" w:styleId="Titolo1">
    <w:name w:val="heading 1"/>
    <w:basedOn w:val="Normale"/>
    <w:next w:val="Normale"/>
    <w:link w:val="Titolo1Carattere"/>
    <w:uiPriority w:val="99"/>
    <w:semiHidden/>
    <w:rsid w:val="00FC71C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C71C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C71C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C71C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C71C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C71C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C71C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C71C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C71C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C71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1C0"/>
    <w:rPr>
      <w:rFonts w:ascii="Tahoma" w:eastAsiaTheme="minorEastAsia" w:hAnsi="Tahoma" w:cs="Tahoma"/>
      <w:sz w:val="16"/>
      <w:szCs w:val="16"/>
    </w:rPr>
  </w:style>
  <w:style w:type="character" w:styleId="Titolodellibro">
    <w:name w:val="Book Title"/>
    <w:uiPriority w:val="99"/>
    <w:semiHidden/>
    <w:qFormat/>
    <w:rsid w:val="00FC71C0"/>
    <w:rPr>
      <w:i/>
      <w:iCs/>
      <w:smallCaps/>
      <w:spacing w:val="5"/>
    </w:rPr>
  </w:style>
  <w:style w:type="paragraph" w:customStyle="1" w:styleId="ECHRHeader">
    <w:name w:val="ECHR_Header"/>
    <w:aliases w:val="Ju_Header"/>
    <w:basedOn w:val="Intestazione"/>
    <w:uiPriority w:val="4"/>
    <w:qFormat/>
    <w:rsid w:val="00FC71C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FC71C0"/>
    <w:pPr>
      <w:jc w:val="left"/>
    </w:pPr>
    <w:rPr>
      <w:sz w:val="8"/>
    </w:rPr>
  </w:style>
  <w:style w:type="character" w:styleId="Enfasigrassetto">
    <w:name w:val="Strong"/>
    <w:uiPriority w:val="99"/>
    <w:semiHidden/>
    <w:qFormat/>
    <w:rsid w:val="00FC71C0"/>
    <w:rPr>
      <w:b/>
      <w:bCs/>
    </w:rPr>
  </w:style>
  <w:style w:type="paragraph" w:styleId="Nessunaspaziatura">
    <w:name w:val="No Spacing"/>
    <w:basedOn w:val="Normale"/>
    <w:link w:val="NessunaspaziaturaCarattere"/>
    <w:semiHidden/>
    <w:qFormat/>
    <w:rsid w:val="00FC71C0"/>
    <w:rPr>
      <w:sz w:val="22"/>
    </w:rPr>
  </w:style>
  <w:style w:type="character" w:customStyle="1" w:styleId="NessunaspaziaturaCarattere">
    <w:name w:val="Nessuna spaziatura Carattere"/>
    <w:basedOn w:val="Carpredefinitoparagrafo"/>
    <w:link w:val="Nessunaspaziatura"/>
    <w:semiHidden/>
    <w:rsid w:val="00FC71C0"/>
    <w:rPr>
      <w:rFonts w:eastAsiaTheme="minorEastAsia"/>
    </w:rPr>
  </w:style>
  <w:style w:type="paragraph" w:customStyle="1" w:styleId="ECHRFooterLine">
    <w:name w:val="ECHR_Footer_Line"/>
    <w:aliases w:val="Footer_Line"/>
    <w:basedOn w:val="Normale"/>
    <w:next w:val="ECHRFooter"/>
    <w:uiPriority w:val="57"/>
    <w:semiHidden/>
    <w:rsid w:val="00FC71C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FC71C0"/>
    <w:pPr>
      <w:numPr>
        <w:numId w:val="16"/>
      </w:numPr>
      <w:jc w:val="left"/>
    </w:pPr>
    <w:rPr>
      <w:b/>
    </w:rPr>
  </w:style>
  <w:style w:type="paragraph" w:customStyle="1" w:styleId="OpiPara">
    <w:name w:val="Opi_Para"/>
    <w:basedOn w:val="ECHRPara"/>
    <w:uiPriority w:val="46"/>
    <w:qFormat/>
    <w:rsid w:val="00FC71C0"/>
  </w:style>
  <w:style w:type="paragraph" w:customStyle="1" w:styleId="JuParaSub">
    <w:name w:val="Ju_Para_Sub"/>
    <w:basedOn w:val="ECHRPara"/>
    <w:uiPriority w:val="13"/>
    <w:qFormat/>
    <w:rsid w:val="00FC71C0"/>
    <w:pPr>
      <w:ind w:left="284"/>
    </w:pPr>
  </w:style>
  <w:style w:type="paragraph" w:customStyle="1" w:styleId="ECHRTitleCentre3">
    <w:name w:val="ECHR_Title_Centre_3"/>
    <w:aliases w:val="Ju_H_Article"/>
    <w:basedOn w:val="Normale"/>
    <w:next w:val="ECHRParaQuote"/>
    <w:uiPriority w:val="27"/>
    <w:qFormat/>
    <w:rsid w:val="00FC71C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C71C0"/>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C71C0"/>
  </w:style>
  <w:style w:type="paragraph" w:customStyle="1" w:styleId="OpiQuot">
    <w:name w:val="Opi_Quot"/>
    <w:basedOn w:val="ECHRParaQuote"/>
    <w:uiPriority w:val="48"/>
    <w:qFormat/>
    <w:rsid w:val="00FC71C0"/>
  </w:style>
  <w:style w:type="paragraph" w:customStyle="1" w:styleId="OpiQuotSub">
    <w:name w:val="Opi_Quot_Sub"/>
    <w:basedOn w:val="JuQuotSub"/>
    <w:uiPriority w:val="49"/>
    <w:qFormat/>
    <w:rsid w:val="00FC71C0"/>
  </w:style>
  <w:style w:type="paragraph" w:customStyle="1" w:styleId="ECHRTitleCentre2">
    <w:name w:val="ECHR_Title_Centre_2"/>
    <w:aliases w:val="Dec_H_Case"/>
    <w:basedOn w:val="Normale"/>
    <w:next w:val="ECHRPara"/>
    <w:uiPriority w:val="8"/>
    <w:rsid w:val="00FC71C0"/>
    <w:pPr>
      <w:spacing w:after="240"/>
      <w:jc w:val="center"/>
      <w:outlineLvl w:val="0"/>
    </w:pPr>
    <w:rPr>
      <w:rFonts w:asciiTheme="majorHAnsi" w:hAnsiTheme="majorHAnsi"/>
    </w:rPr>
  </w:style>
  <w:style w:type="paragraph" w:customStyle="1" w:styleId="JuTitle">
    <w:name w:val="Ju_Title"/>
    <w:basedOn w:val="Normale"/>
    <w:next w:val="ECHRPara"/>
    <w:uiPriority w:val="3"/>
    <w:rsid w:val="00FC71C0"/>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FC71C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C71C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link w:val="JuH1Char"/>
    <w:uiPriority w:val="21"/>
    <w:qFormat/>
    <w:rsid w:val="00FC71C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FC71C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C71C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FC71C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FC71C0"/>
    <w:pPr>
      <w:keepNext/>
      <w:keepLines/>
      <w:spacing w:before="240" w:after="120"/>
      <w:ind w:left="1236"/>
    </w:pPr>
    <w:rPr>
      <w:sz w:val="20"/>
    </w:rPr>
  </w:style>
  <w:style w:type="paragraph" w:customStyle="1" w:styleId="JuQuotSub">
    <w:name w:val="Ju_Quot_Sub"/>
    <w:basedOn w:val="ECHRParaQuote"/>
    <w:uiPriority w:val="15"/>
    <w:qFormat/>
    <w:rsid w:val="00FC71C0"/>
    <w:pPr>
      <w:ind w:left="567"/>
    </w:pPr>
  </w:style>
  <w:style w:type="paragraph" w:customStyle="1" w:styleId="JuInitialled">
    <w:name w:val="Ju_Initialled"/>
    <w:basedOn w:val="Normale"/>
    <w:uiPriority w:val="31"/>
    <w:qFormat/>
    <w:rsid w:val="00FC71C0"/>
    <w:pPr>
      <w:tabs>
        <w:tab w:val="center" w:pos="6407"/>
      </w:tabs>
      <w:spacing w:before="720"/>
      <w:jc w:val="right"/>
    </w:pPr>
  </w:style>
  <w:style w:type="paragraph" w:customStyle="1" w:styleId="OpiHA">
    <w:name w:val="Opi_H_A"/>
    <w:basedOn w:val="ECHRHeading1"/>
    <w:next w:val="OpiPara"/>
    <w:uiPriority w:val="41"/>
    <w:qFormat/>
    <w:rsid w:val="00FC71C0"/>
    <w:pPr>
      <w:tabs>
        <w:tab w:val="clear" w:pos="357"/>
      </w:tabs>
      <w:outlineLvl w:val="1"/>
    </w:pPr>
    <w:rPr>
      <w:b/>
    </w:rPr>
  </w:style>
  <w:style w:type="paragraph" w:styleId="Intestazione">
    <w:name w:val="header"/>
    <w:basedOn w:val="Normale"/>
    <w:link w:val="IntestazioneCarattere"/>
    <w:uiPriority w:val="57"/>
    <w:semiHidden/>
    <w:rsid w:val="00FC71C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C71C0"/>
    <w:rPr>
      <w:sz w:val="24"/>
    </w:rPr>
  </w:style>
  <w:style w:type="character" w:customStyle="1" w:styleId="Titolo1Carattere">
    <w:name w:val="Titolo 1 Carattere"/>
    <w:basedOn w:val="Carpredefinitoparagrafo"/>
    <w:link w:val="Titolo1"/>
    <w:uiPriority w:val="99"/>
    <w:semiHidden/>
    <w:rsid w:val="00FC71C0"/>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FC71C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FC71C0"/>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FC71C0"/>
    <w:rPr>
      <w:rFonts w:asciiTheme="majorHAnsi" w:eastAsiaTheme="majorEastAsia" w:hAnsiTheme="majorHAnsi" w:cstheme="majorBidi"/>
      <w:b/>
      <w:bCs/>
      <w:color w:val="4D4D4D"/>
      <w:sz w:val="26"/>
      <w:szCs w:val="26"/>
    </w:rPr>
  </w:style>
  <w:style w:type="character" w:customStyle="1" w:styleId="JUNAMES">
    <w:name w:val="JU_NAMES"/>
    <w:uiPriority w:val="17"/>
    <w:qFormat/>
    <w:rsid w:val="00FC71C0"/>
    <w:rPr>
      <w:caps w:val="0"/>
      <w:smallCaps/>
    </w:rPr>
  </w:style>
  <w:style w:type="paragraph" w:customStyle="1" w:styleId="ECHRDecisionBody">
    <w:name w:val="ECHR_Decision_Body"/>
    <w:aliases w:val="Ju_Judges"/>
    <w:basedOn w:val="Normale"/>
    <w:uiPriority w:val="11"/>
    <w:qFormat/>
    <w:rsid w:val="00FC71C0"/>
    <w:pPr>
      <w:tabs>
        <w:tab w:val="left" w:pos="567"/>
        <w:tab w:val="left" w:pos="1134"/>
      </w:tabs>
      <w:jc w:val="left"/>
    </w:pPr>
  </w:style>
  <w:style w:type="character" w:customStyle="1" w:styleId="Titolo3Carattere">
    <w:name w:val="Titolo 3 Carattere"/>
    <w:basedOn w:val="Carpredefinitoparagrafo"/>
    <w:link w:val="Titolo3"/>
    <w:uiPriority w:val="99"/>
    <w:semiHidden/>
    <w:rsid w:val="00FC71C0"/>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FC71C0"/>
    <w:pPr>
      <w:ind w:firstLine="284"/>
    </w:pPr>
  </w:style>
  <w:style w:type="character" w:customStyle="1" w:styleId="Titolo4Carattere">
    <w:name w:val="Titolo 4 Carattere"/>
    <w:basedOn w:val="Carpredefinitoparagrafo"/>
    <w:link w:val="Titolo4"/>
    <w:uiPriority w:val="99"/>
    <w:semiHidden/>
    <w:rsid w:val="00FC71C0"/>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FC71C0"/>
    <w:rPr>
      <w:rFonts w:asciiTheme="majorHAnsi" w:eastAsiaTheme="majorEastAsia" w:hAnsiTheme="majorHAnsi" w:cstheme="majorBidi"/>
      <w:b/>
      <w:bCs/>
      <w:color w:val="808080"/>
    </w:rPr>
  </w:style>
  <w:style w:type="character" w:styleId="Enfasidelicata">
    <w:name w:val="Subtle Emphasis"/>
    <w:uiPriority w:val="99"/>
    <w:semiHidden/>
    <w:qFormat/>
    <w:rsid w:val="00FC71C0"/>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FC71C0"/>
    <w:pPr>
      <w:keepNext/>
      <w:keepLines/>
      <w:spacing w:before="720" w:after="240"/>
      <w:outlineLvl w:val="0"/>
    </w:pPr>
    <w:rPr>
      <w:rFonts w:asciiTheme="majorHAnsi" w:hAnsiTheme="majorHAnsi"/>
      <w:sz w:val="28"/>
    </w:rPr>
  </w:style>
  <w:style w:type="character" w:styleId="Enfasicorsivo">
    <w:name w:val="Emphasis"/>
    <w:uiPriority w:val="99"/>
    <w:semiHidden/>
    <w:qFormat/>
    <w:rsid w:val="00FC71C0"/>
    <w:rPr>
      <w:b/>
      <w:bCs/>
      <w:i/>
      <w:iCs/>
      <w:spacing w:val="10"/>
      <w:bdr w:val="none" w:sz="0" w:space="0" w:color="auto"/>
      <w:shd w:val="clear" w:color="auto" w:fill="auto"/>
    </w:rPr>
  </w:style>
  <w:style w:type="paragraph" w:styleId="Pidipagina">
    <w:name w:val="footer"/>
    <w:basedOn w:val="Normale"/>
    <w:link w:val="PidipaginaCarattere"/>
    <w:uiPriority w:val="57"/>
    <w:semiHidden/>
    <w:rsid w:val="00FC71C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C71C0"/>
    <w:rPr>
      <w:sz w:val="24"/>
    </w:rPr>
  </w:style>
  <w:style w:type="character" w:styleId="Rimandonotaapidipagina">
    <w:name w:val="footnote reference"/>
    <w:basedOn w:val="Carpredefinitoparagrafo"/>
    <w:uiPriority w:val="99"/>
    <w:semiHidden/>
    <w:rsid w:val="00FC71C0"/>
    <w:rPr>
      <w:vertAlign w:val="superscript"/>
    </w:rPr>
  </w:style>
  <w:style w:type="paragraph" w:styleId="Testonotaapidipagina">
    <w:name w:val="footnote text"/>
    <w:basedOn w:val="Normale"/>
    <w:link w:val="TestonotaapidipaginaCarattere"/>
    <w:uiPriority w:val="99"/>
    <w:semiHidden/>
    <w:rsid w:val="00FC71C0"/>
    <w:rPr>
      <w:sz w:val="20"/>
      <w:szCs w:val="20"/>
    </w:rPr>
  </w:style>
  <w:style w:type="character" w:customStyle="1" w:styleId="TestonotaapidipaginaCarattere">
    <w:name w:val="Testo nota a piè di pagina Carattere"/>
    <w:basedOn w:val="Carpredefinitoparagrafo"/>
    <w:link w:val="Testonotaapidipagina"/>
    <w:uiPriority w:val="99"/>
    <w:semiHidden/>
    <w:rsid w:val="00FC71C0"/>
    <w:rPr>
      <w:rFonts w:eastAsiaTheme="minorEastAsia"/>
      <w:sz w:val="20"/>
      <w:szCs w:val="20"/>
    </w:rPr>
  </w:style>
  <w:style w:type="character" w:customStyle="1" w:styleId="Titolo6Carattere">
    <w:name w:val="Titolo 6 Carattere"/>
    <w:basedOn w:val="Carpredefinitoparagrafo"/>
    <w:link w:val="Titolo6"/>
    <w:uiPriority w:val="99"/>
    <w:semiHidden/>
    <w:rsid w:val="00FC71C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C71C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C71C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C71C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C71C0"/>
    <w:rPr>
      <w:color w:val="0072BC" w:themeColor="hyperlink"/>
      <w:u w:val="single"/>
    </w:rPr>
  </w:style>
  <w:style w:type="character" w:styleId="Enfasiintensa">
    <w:name w:val="Intense Emphasis"/>
    <w:uiPriority w:val="99"/>
    <w:semiHidden/>
    <w:qFormat/>
    <w:rsid w:val="00FC71C0"/>
    <w:rPr>
      <w:b/>
      <w:bCs/>
    </w:rPr>
  </w:style>
  <w:style w:type="paragraph" w:styleId="Citazioneintensa">
    <w:name w:val="Intense Quote"/>
    <w:basedOn w:val="Normale"/>
    <w:next w:val="Normale"/>
    <w:link w:val="CitazioneintensaCarattere"/>
    <w:uiPriority w:val="99"/>
    <w:semiHidden/>
    <w:qFormat/>
    <w:rsid w:val="00FC71C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C71C0"/>
    <w:rPr>
      <w:rFonts w:eastAsiaTheme="minorEastAsia"/>
      <w:b/>
      <w:bCs/>
      <w:i/>
      <w:iCs/>
      <w:lang w:bidi="en-US"/>
    </w:rPr>
  </w:style>
  <w:style w:type="character" w:styleId="Riferimentointenso">
    <w:name w:val="Intense Reference"/>
    <w:uiPriority w:val="99"/>
    <w:semiHidden/>
    <w:qFormat/>
    <w:rsid w:val="00FC71C0"/>
    <w:rPr>
      <w:smallCaps/>
      <w:spacing w:val="5"/>
      <w:u w:val="single"/>
    </w:rPr>
  </w:style>
  <w:style w:type="paragraph" w:styleId="Paragrafoelenco">
    <w:name w:val="List Paragraph"/>
    <w:basedOn w:val="Normale"/>
    <w:uiPriority w:val="99"/>
    <w:semiHidden/>
    <w:qFormat/>
    <w:rsid w:val="00FC71C0"/>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FC71C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C71C0"/>
    <w:rPr>
      <w:rFonts w:eastAsiaTheme="minorEastAsia"/>
      <w:i/>
      <w:iCs/>
      <w:lang w:bidi="en-US"/>
    </w:rPr>
  </w:style>
  <w:style w:type="character" w:styleId="Riferimentodelicato">
    <w:name w:val="Subtle Reference"/>
    <w:uiPriority w:val="99"/>
    <w:semiHidden/>
    <w:qFormat/>
    <w:rsid w:val="00FC71C0"/>
    <w:rPr>
      <w:smallCaps/>
    </w:rPr>
  </w:style>
  <w:style w:type="table" w:styleId="Grigliatabella">
    <w:name w:val="Table Grid"/>
    <w:basedOn w:val="Tabellanormale"/>
    <w:uiPriority w:val="59"/>
    <w:semiHidden/>
    <w:rsid w:val="00FC71C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FC71C0"/>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FC71C0"/>
    <w:pPr>
      <w:spacing w:after="60"/>
      <w:ind w:left="680" w:right="340" w:hanging="340"/>
    </w:pPr>
  </w:style>
  <w:style w:type="paragraph" w:styleId="Sommario3">
    <w:name w:val="toc 3"/>
    <w:basedOn w:val="Normale"/>
    <w:next w:val="Normale"/>
    <w:autoRedefine/>
    <w:uiPriority w:val="99"/>
    <w:semiHidden/>
    <w:rsid w:val="00FC71C0"/>
    <w:pPr>
      <w:spacing w:after="60"/>
      <w:ind w:left="1020" w:right="340" w:hanging="340"/>
    </w:pPr>
  </w:style>
  <w:style w:type="paragraph" w:styleId="Sommario4">
    <w:name w:val="toc 4"/>
    <w:basedOn w:val="Normale"/>
    <w:next w:val="Normale"/>
    <w:autoRedefine/>
    <w:uiPriority w:val="99"/>
    <w:semiHidden/>
    <w:rsid w:val="00FC71C0"/>
    <w:pPr>
      <w:tabs>
        <w:tab w:val="right" w:leader="dot" w:pos="9017"/>
      </w:tabs>
      <w:spacing w:after="60"/>
      <w:ind w:left="1361" w:right="340" w:hanging="340"/>
    </w:pPr>
  </w:style>
  <w:style w:type="paragraph" w:styleId="Sommario5">
    <w:name w:val="toc 5"/>
    <w:basedOn w:val="Normale"/>
    <w:next w:val="Normale"/>
    <w:autoRedefine/>
    <w:uiPriority w:val="99"/>
    <w:semiHidden/>
    <w:rsid w:val="00FC71C0"/>
    <w:pPr>
      <w:spacing w:after="60"/>
      <w:ind w:left="1701" w:right="340" w:hanging="340"/>
    </w:pPr>
  </w:style>
  <w:style w:type="paragraph" w:styleId="Titolosommario">
    <w:name w:val="TOC Heading"/>
    <w:basedOn w:val="Titolo1"/>
    <w:next w:val="Normale"/>
    <w:uiPriority w:val="99"/>
    <w:semiHidden/>
    <w:qFormat/>
    <w:rsid w:val="00FC71C0"/>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C71C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FC71C0"/>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C71C0"/>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FC71C0"/>
    <w:pPr>
      <w:tabs>
        <w:tab w:val="center" w:pos="851"/>
        <w:tab w:val="center" w:pos="6407"/>
      </w:tabs>
      <w:spacing w:before="720"/>
      <w:jc w:val="left"/>
    </w:pPr>
  </w:style>
  <w:style w:type="paragraph" w:customStyle="1" w:styleId="JuParaLast">
    <w:name w:val="Ju_Para_Last"/>
    <w:basedOn w:val="Normale"/>
    <w:next w:val="ECHRPara"/>
    <w:uiPriority w:val="30"/>
    <w:qFormat/>
    <w:rsid w:val="00FC71C0"/>
    <w:pPr>
      <w:keepNext/>
      <w:keepLines/>
      <w:spacing w:before="240"/>
      <w:ind w:firstLine="284"/>
    </w:pPr>
  </w:style>
  <w:style w:type="paragraph" w:customStyle="1" w:styleId="JuCase">
    <w:name w:val="Ju_Case"/>
    <w:basedOn w:val="Normale"/>
    <w:next w:val="ECHRPara"/>
    <w:uiPriority w:val="10"/>
    <w:rsid w:val="00FC71C0"/>
    <w:pPr>
      <w:ind w:firstLine="284"/>
    </w:pPr>
    <w:rPr>
      <w:b/>
    </w:rPr>
  </w:style>
  <w:style w:type="paragraph" w:customStyle="1" w:styleId="JuList">
    <w:name w:val="Ju_List"/>
    <w:basedOn w:val="Normale"/>
    <w:uiPriority w:val="28"/>
    <w:qFormat/>
    <w:rsid w:val="00FC71C0"/>
    <w:pPr>
      <w:ind w:left="340" w:hanging="340"/>
    </w:pPr>
  </w:style>
  <w:style w:type="character" w:customStyle="1" w:styleId="JuITMark">
    <w:name w:val="Ju_ITMark"/>
    <w:basedOn w:val="Carpredefinitoparagrafo"/>
    <w:uiPriority w:val="38"/>
    <w:qFormat/>
    <w:rsid w:val="00FC71C0"/>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FC71C0"/>
    <w:pPr>
      <w:ind w:left="346" w:firstLine="0"/>
    </w:pPr>
  </w:style>
  <w:style w:type="paragraph" w:customStyle="1" w:styleId="JuListi">
    <w:name w:val="Ju_List_i"/>
    <w:basedOn w:val="Normale"/>
    <w:next w:val="JuLista"/>
    <w:uiPriority w:val="28"/>
    <w:qFormat/>
    <w:rsid w:val="00FC71C0"/>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FC71C0"/>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FC71C0"/>
  </w:style>
  <w:style w:type="paragraph" w:styleId="Sottotitolo">
    <w:name w:val="Subtitle"/>
    <w:basedOn w:val="Normale"/>
    <w:next w:val="Normale"/>
    <w:link w:val="SottotitoloCarattere"/>
    <w:uiPriority w:val="99"/>
    <w:semiHidden/>
    <w:qFormat/>
    <w:rsid w:val="00FC71C0"/>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FC71C0"/>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ECHRParaChar">
    <w:name w:val="ECHR_Para Char"/>
    <w:aliases w:val="Ju_Para Char"/>
    <w:link w:val="ECHRPara"/>
    <w:uiPriority w:val="12"/>
    <w:rsid w:val="00A43DAC"/>
    <w:rPr>
      <w:rFonts w:eastAsiaTheme="minorEastAsia"/>
      <w:sz w:val="24"/>
    </w:rPr>
  </w:style>
  <w:style w:type="character" w:customStyle="1" w:styleId="JuH1Char">
    <w:name w:val="Ju_H_1. Char"/>
    <w:link w:val="ECHRHeading3"/>
    <w:uiPriority w:val="21"/>
    <w:rsid w:val="00A43DAC"/>
    <w:rPr>
      <w:rFonts w:asciiTheme="majorHAnsi" w:eastAsiaTheme="majorEastAsia" w:hAnsiTheme="majorHAnsi" w:cstheme="majorBidi"/>
      <w:bCs/>
      <w:i/>
      <w:sz w:val="24"/>
    </w:rPr>
  </w:style>
  <w:style w:type="character" w:customStyle="1" w:styleId="JuParaCar">
    <w:name w:val="Ju_Para Car"/>
    <w:uiPriority w:val="12"/>
    <w:rsid w:val="00615C4A"/>
    <w:rPr>
      <w:rFonts w:eastAsiaTheme="minorEastAsia"/>
      <w:sz w:val="24"/>
    </w:rPr>
  </w:style>
  <w:style w:type="paragraph" w:styleId="Revisione">
    <w:name w:val="Revision"/>
    <w:hidden/>
    <w:uiPriority w:val="99"/>
    <w:semiHidden/>
    <w:rsid w:val="000F384C"/>
    <w:rPr>
      <w:rFonts w:eastAsiaTheme="minorEastAsia"/>
      <w:sz w:val="24"/>
    </w:rPr>
  </w:style>
  <w:style w:type="paragraph" w:customStyle="1" w:styleId="JuCourt">
    <w:name w:val="Ju_Court"/>
    <w:basedOn w:val="Normale"/>
    <w:next w:val="Normale"/>
    <w:uiPriority w:val="16"/>
    <w:qFormat/>
    <w:rsid w:val="00FC71C0"/>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rsid w:val="00FC71C0"/>
    <w:pPr>
      <w:spacing w:before="240"/>
      <w:ind w:left="284"/>
    </w:pPr>
  </w:style>
  <w:style w:type="paragraph" w:customStyle="1" w:styleId="OpiH1">
    <w:name w:val="Opi_H_1"/>
    <w:basedOn w:val="ECHRHeading2"/>
    <w:uiPriority w:val="42"/>
    <w:qFormat/>
    <w:rsid w:val="00FC71C0"/>
    <w:pPr>
      <w:ind w:left="635" w:hanging="357"/>
      <w:outlineLvl w:val="2"/>
    </w:pPr>
  </w:style>
  <w:style w:type="paragraph" w:customStyle="1" w:styleId="OpiHa0">
    <w:name w:val="Opi_H_a"/>
    <w:basedOn w:val="ECHRHeading3"/>
    <w:uiPriority w:val="43"/>
    <w:qFormat/>
    <w:rsid w:val="00FC71C0"/>
    <w:pPr>
      <w:ind w:left="833" w:hanging="357"/>
      <w:outlineLvl w:val="3"/>
    </w:pPr>
    <w:rPr>
      <w:b/>
      <w:i w:val="0"/>
      <w:sz w:val="20"/>
    </w:rPr>
  </w:style>
  <w:style w:type="paragraph" w:customStyle="1" w:styleId="OpiHi">
    <w:name w:val="Opi_H_i"/>
    <w:basedOn w:val="ECHRHeading4"/>
    <w:uiPriority w:val="44"/>
    <w:qFormat/>
    <w:rsid w:val="00FC71C0"/>
    <w:pPr>
      <w:ind w:left="1037" w:hanging="357"/>
      <w:outlineLvl w:val="4"/>
    </w:pPr>
    <w:rPr>
      <w:b w:val="0"/>
      <w:i/>
    </w:rPr>
  </w:style>
  <w:style w:type="paragraph" w:customStyle="1" w:styleId="DummyStyle">
    <w:name w:val="Dummy_Style"/>
    <w:basedOn w:val="Normale"/>
    <w:semiHidden/>
    <w:qFormat/>
    <w:rsid w:val="00FC71C0"/>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FC71C0"/>
    <w:pPr>
      <w:jc w:val="both"/>
    </w:pPr>
    <w:rPr>
      <w:rFonts w:eastAsiaTheme="minorEastAsia"/>
      <w:sz w:val="24"/>
    </w:rPr>
  </w:style>
  <w:style w:type="paragraph" w:styleId="Titolo1">
    <w:name w:val="heading 1"/>
    <w:basedOn w:val="Normale"/>
    <w:next w:val="Normale"/>
    <w:link w:val="Titolo1Carattere"/>
    <w:uiPriority w:val="99"/>
    <w:semiHidden/>
    <w:rsid w:val="00FC71C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C71C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C71C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C71C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C71C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C71C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C71C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C71C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C71C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C71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1C0"/>
    <w:rPr>
      <w:rFonts w:ascii="Tahoma" w:eastAsiaTheme="minorEastAsia" w:hAnsi="Tahoma" w:cs="Tahoma"/>
      <w:sz w:val="16"/>
      <w:szCs w:val="16"/>
    </w:rPr>
  </w:style>
  <w:style w:type="character" w:styleId="Titolodellibro">
    <w:name w:val="Book Title"/>
    <w:uiPriority w:val="99"/>
    <w:semiHidden/>
    <w:qFormat/>
    <w:rsid w:val="00FC71C0"/>
    <w:rPr>
      <w:i/>
      <w:iCs/>
      <w:smallCaps/>
      <w:spacing w:val="5"/>
    </w:rPr>
  </w:style>
  <w:style w:type="paragraph" w:customStyle="1" w:styleId="ECHRHeader">
    <w:name w:val="ECHR_Header"/>
    <w:aliases w:val="Ju_Header"/>
    <w:basedOn w:val="Intestazione"/>
    <w:uiPriority w:val="4"/>
    <w:qFormat/>
    <w:rsid w:val="00FC71C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FC71C0"/>
    <w:pPr>
      <w:jc w:val="left"/>
    </w:pPr>
    <w:rPr>
      <w:sz w:val="8"/>
    </w:rPr>
  </w:style>
  <w:style w:type="character" w:styleId="Enfasigrassetto">
    <w:name w:val="Strong"/>
    <w:uiPriority w:val="99"/>
    <w:semiHidden/>
    <w:qFormat/>
    <w:rsid w:val="00FC71C0"/>
    <w:rPr>
      <w:b/>
      <w:bCs/>
    </w:rPr>
  </w:style>
  <w:style w:type="paragraph" w:styleId="Nessunaspaziatura">
    <w:name w:val="No Spacing"/>
    <w:basedOn w:val="Normale"/>
    <w:link w:val="NessunaspaziaturaCarattere"/>
    <w:semiHidden/>
    <w:qFormat/>
    <w:rsid w:val="00FC71C0"/>
    <w:rPr>
      <w:sz w:val="22"/>
    </w:rPr>
  </w:style>
  <w:style w:type="character" w:customStyle="1" w:styleId="NessunaspaziaturaCarattere">
    <w:name w:val="Nessuna spaziatura Carattere"/>
    <w:basedOn w:val="Carpredefinitoparagrafo"/>
    <w:link w:val="Nessunaspaziatura"/>
    <w:semiHidden/>
    <w:rsid w:val="00FC71C0"/>
    <w:rPr>
      <w:rFonts w:eastAsiaTheme="minorEastAsia"/>
    </w:rPr>
  </w:style>
  <w:style w:type="paragraph" w:customStyle="1" w:styleId="ECHRFooterLine">
    <w:name w:val="ECHR_Footer_Line"/>
    <w:aliases w:val="Footer_Line"/>
    <w:basedOn w:val="Normale"/>
    <w:next w:val="ECHRFooter"/>
    <w:uiPriority w:val="57"/>
    <w:semiHidden/>
    <w:rsid w:val="00FC71C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FC71C0"/>
    <w:pPr>
      <w:numPr>
        <w:numId w:val="16"/>
      </w:numPr>
      <w:jc w:val="left"/>
    </w:pPr>
    <w:rPr>
      <w:b/>
    </w:rPr>
  </w:style>
  <w:style w:type="paragraph" w:customStyle="1" w:styleId="OpiPara">
    <w:name w:val="Opi_Para"/>
    <w:basedOn w:val="ECHRPara"/>
    <w:uiPriority w:val="46"/>
    <w:qFormat/>
    <w:rsid w:val="00FC71C0"/>
  </w:style>
  <w:style w:type="paragraph" w:customStyle="1" w:styleId="JuParaSub">
    <w:name w:val="Ju_Para_Sub"/>
    <w:basedOn w:val="ECHRPara"/>
    <w:uiPriority w:val="13"/>
    <w:qFormat/>
    <w:rsid w:val="00FC71C0"/>
    <w:pPr>
      <w:ind w:left="284"/>
    </w:pPr>
  </w:style>
  <w:style w:type="paragraph" w:customStyle="1" w:styleId="ECHRTitleCentre3">
    <w:name w:val="ECHR_Title_Centre_3"/>
    <w:aliases w:val="Ju_H_Article"/>
    <w:basedOn w:val="Normale"/>
    <w:next w:val="ECHRParaQuote"/>
    <w:uiPriority w:val="27"/>
    <w:qFormat/>
    <w:rsid w:val="00FC71C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C71C0"/>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C71C0"/>
  </w:style>
  <w:style w:type="paragraph" w:customStyle="1" w:styleId="OpiQuot">
    <w:name w:val="Opi_Quot"/>
    <w:basedOn w:val="ECHRParaQuote"/>
    <w:uiPriority w:val="48"/>
    <w:qFormat/>
    <w:rsid w:val="00FC71C0"/>
  </w:style>
  <w:style w:type="paragraph" w:customStyle="1" w:styleId="OpiQuotSub">
    <w:name w:val="Opi_Quot_Sub"/>
    <w:basedOn w:val="JuQuotSub"/>
    <w:uiPriority w:val="49"/>
    <w:qFormat/>
    <w:rsid w:val="00FC71C0"/>
  </w:style>
  <w:style w:type="paragraph" w:customStyle="1" w:styleId="ECHRTitleCentre2">
    <w:name w:val="ECHR_Title_Centre_2"/>
    <w:aliases w:val="Dec_H_Case"/>
    <w:basedOn w:val="Normale"/>
    <w:next w:val="ECHRPara"/>
    <w:uiPriority w:val="8"/>
    <w:rsid w:val="00FC71C0"/>
    <w:pPr>
      <w:spacing w:after="240"/>
      <w:jc w:val="center"/>
      <w:outlineLvl w:val="0"/>
    </w:pPr>
    <w:rPr>
      <w:rFonts w:asciiTheme="majorHAnsi" w:hAnsiTheme="majorHAnsi"/>
    </w:rPr>
  </w:style>
  <w:style w:type="paragraph" w:customStyle="1" w:styleId="JuTitle">
    <w:name w:val="Ju_Title"/>
    <w:basedOn w:val="Normale"/>
    <w:next w:val="ECHRPara"/>
    <w:uiPriority w:val="3"/>
    <w:rsid w:val="00FC71C0"/>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FC71C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C71C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link w:val="JuH1Char"/>
    <w:uiPriority w:val="21"/>
    <w:qFormat/>
    <w:rsid w:val="00FC71C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FC71C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C71C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FC71C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FC71C0"/>
    <w:pPr>
      <w:keepNext/>
      <w:keepLines/>
      <w:spacing w:before="240" w:after="120"/>
      <w:ind w:left="1236"/>
    </w:pPr>
    <w:rPr>
      <w:sz w:val="20"/>
    </w:rPr>
  </w:style>
  <w:style w:type="paragraph" w:customStyle="1" w:styleId="JuQuotSub">
    <w:name w:val="Ju_Quot_Sub"/>
    <w:basedOn w:val="ECHRParaQuote"/>
    <w:uiPriority w:val="15"/>
    <w:qFormat/>
    <w:rsid w:val="00FC71C0"/>
    <w:pPr>
      <w:ind w:left="567"/>
    </w:pPr>
  </w:style>
  <w:style w:type="paragraph" w:customStyle="1" w:styleId="JuInitialled">
    <w:name w:val="Ju_Initialled"/>
    <w:basedOn w:val="Normale"/>
    <w:uiPriority w:val="31"/>
    <w:qFormat/>
    <w:rsid w:val="00FC71C0"/>
    <w:pPr>
      <w:tabs>
        <w:tab w:val="center" w:pos="6407"/>
      </w:tabs>
      <w:spacing w:before="720"/>
      <w:jc w:val="right"/>
    </w:pPr>
  </w:style>
  <w:style w:type="paragraph" w:customStyle="1" w:styleId="OpiHA">
    <w:name w:val="Opi_H_A"/>
    <w:basedOn w:val="ECHRHeading1"/>
    <w:next w:val="OpiPara"/>
    <w:uiPriority w:val="41"/>
    <w:qFormat/>
    <w:rsid w:val="00FC71C0"/>
    <w:pPr>
      <w:tabs>
        <w:tab w:val="clear" w:pos="357"/>
      </w:tabs>
      <w:outlineLvl w:val="1"/>
    </w:pPr>
    <w:rPr>
      <w:b/>
    </w:rPr>
  </w:style>
  <w:style w:type="paragraph" w:styleId="Intestazione">
    <w:name w:val="header"/>
    <w:basedOn w:val="Normale"/>
    <w:link w:val="IntestazioneCarattere"/>
    <w:uiPriority w:val="57"/>
    <w:semiHidden/>
    <w:rsid w:val="00FC71C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C71C0"/>
    <w:rPr>
      <w:sz w:val="24"/>
    </w:rPr>
  </w:style>
  <w:style w:type="character" w:customStyle="1" w:styleId="Titolo1Carattere">
    <w:name w:val="Titolo 1 Carattere"/>
    <w:basedOn w:val="Carpredefinitoparagrafo"/>
    <w:link w:val="Titolo1"/>
    <w:uiPriority w:val="99"/>
    <w:semiHidden/>
    <w:rsid w:val="00FC71C0"/>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FC71C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FC71C0"/>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FC71C0"/>
    <w:rPr>
      <w:rFonts w:asciiTheme="majorHAnsi" w:eastAsiaTheme="majorEastAsia" w:hAnsiTheme="majorHAnsi" w:cstheme="majorBidi"/>
      <w:b/>
      <w:bCs/>
      <w:color w:val="4D4D4D"/>
      <w:sz w:val="26"/>
      <w:szCs w:val="26"/>
    </w:rPr>
  </w:style>
  <w:style w:type="character" w:customStyle="1" w:styleId="JUNAMES">
    <w:name w:val="JU_NAMES"/>
    <w:uiPriority w:val="17"/>
    <w:qFormat/>
    <w:rsid w:val="00FC71C0"/>
    <w:rPr>
      <w:caps w:val="0"/>
      <w:smallCaps/>
    </w:rPr>
  </w:style>
  <w:style w:type="paragraph" w:customStyle="1" w:styleId="ECHRDecisionBody">
    <w:name w:val="ECHR_Decision_Body"/>
    <w:aliases w:val="Ju_Judges"/>
    <w:basedOn w:val="Normale"/>
    <w:uiPriority w:val="11"/>
    <w:qFormat/>
    <w:rsid w:val="00FC71C0"/>
    <w:pPr>
      <w:tabs>
        <w:tab w:val="left" w:pos="567"/>
        <w:tab w:val="left" w:pos="1134"/>
      </w:tabs>
      <w:jc w:val="left"/>
    </w:pPr>
  </w:style>
  <w:style w:type="character" w:customStyle="1" w:styleId="Titolo3Carattere">
    <w:name w:val="Titolo 3 Carattere"/>
    <w:basedOn w:val="Carpredefinitoparagrafo"/>
    <w:link w:val="Titolo3"/>
    <w:uiPriority w:val="99"/>
    <w:semiHidden/>
    <w:rsid w:val="00FC71C0"/>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FC71C0"/>
    <w:pPr>
      <w:ind w:firstLine="284"/>
    </w:pPr>
  </w:style>
  <w:style w:type="character" w:customStyle="1" w:styleId="Titolo4Carattere">
    <w:name w:val="Titolo 4 Carattere"/>
    <w:basedOn w:val="Carpredefinitoparagrafo"/>
    <w:link w:val="Titolo4"/>
    <w:uiPriority w:val="99"/>
    <w:semiHidden/>
    <w:rsid w:val="00FC71C0"/>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FC71C0"/>
    <w:rPr>
      <w:rFonts w:asciiTheme="majorHAnsi" w:eastAsiaTheme="majorEastAsia" w:hAnsiTheme="majorHAnsi" w:cstheme="majorBidi"/>
      <w:b/>
      <w:bCs/>
      <w:color w:val="808080"/>
    </w:rPr>
  </w:style>
  <w:style w:type="character" w:styleId="Enfasidelicata">
    <w:name w:val="Subtle Emphasis"/>
    <w:uiPriority w:val="99"/>
    <w:semiHidden/>
    <w:qFormat/>
    <w:rsid w:val="00FC71C0"/>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FC71C0"/>
    <w:pPr>
      <w:keepNext/>
      <w:keepLines/>
      <w:spacing w:before="720" w:after="240"/>
      <w:outlineLvl w:val="0"/>
    </w:pPr>
    <w:rPr>
      <w:rFonts w:asciiTheme="majorHAnsi" w:hAnsiTheme="majorHAnsi"/>
      <w:sz w:val="28"/>
    </w:rPr>
  </w:style>
  <w:style w:type="character" w:styleId="Enfasicorsivo">
    <w:name w:val="Emphasis"/>
    <w:uiPriority w:val="99"/>
    <w:semiHidden/>
    <w:qFormat/>
    <w:rsid w:val="00FC71C0"/>
    <w:rPr>
      <w:b/>
      <w:bCs/>
      <w:i/>
      <w:iCs/>
      <w:spacing w:val="10"/>
      <w:bdr w:val="none" w:sz="0" w:space="0" w:color="auto"/>
      <w:shd w:val="clear" w:color="auto" w:fill="auto"/>
    </w:rPr>
  </w:style>
  <w:style w:type="paragraph" w:styleId="Pidipagina">
    <w:name w:val="footer"/>
    <w:basedOn w:val="Normale"/>
    <w:link w:val="PidipaginaCarattere"/>
    <w:uiPriority w:val="57"/>
    <w:semiHidden/>
    <w:rsid w:val="00FC71C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C71C0"/>
    <w:rPr>
      <w:sz w:val="24"/>
    </w:rPr>
  </w:style>
  <w:style w:type="character" w:styleId="Rimandonotaapidipagina">
    <w:name w:val="footnote reference"/>
    <w:basedOn w:val="Carpredefinitoparagrafo"/>
    <w:uiPriority w:val="99"/>
    <w:semiHidden/>
    <w:rsid w:val="00FC71C0"/>
    <w:rPr>
      <w:vertAlign w:val="superscript"/>
    </w:rPr>
  </w:style>
  <w:style w:type="paragraph" w:styleId="Testonotaapidipagina">
    <w:name w:val="footnote text"/>
    <w:basedOn w:val="Normale"/>
    <w:link w:val="TestonotaapidipaginaCarattere"/>
    <w:uiPriority w:val="99"/>
    <w:semiHidden/>
    <w:rsid w:val="00FC71C0"/>
    <w:rPr>
      <w:sz w:val="20"/>
      <w:szCs w:val="20"/>
    </w:rPr>
  </w:style>
  <w:style w:type="character" w:customStyle="1" w:styleId="TestonotaapidipaginaCarattere">
    <w:name w:val="Testo nota a piè di pagina Carattere"/>
    <w:basedOn w:val="Carpredefinitoparagrafo"/>
    <w:link w:val="Testonotaapidipagina"/>
    <w:uiPriority w:val="99"/>
    <w:semiHidden/>
    <w:rsid w:val="00FC71C0"/>
    <w:rPr>
      <w:rFonts w:eastAsiaTheme="minorEastAsia"/>
      <w:sz w:val="20"/>
      <w:szCs w:val="20"/>
    </w:rPr>
  </w:style>
  <w:style w:type="character" w:customStyle="1" w:styleId="Titolo6Carattere">
    <w:name w:val="Titolo 6 Carattere"/>
    <w:basedOn w:val="Carpredefinitoparagrafo"/>
    <w:link w:val="Titolo6"/>
    <w:uiPriority w:val="99"/>
    <w:semiHidden/>
    <w:rsid w:val="00FC71C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C71C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C71C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C71C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C71C0"/>
    <w:rPr>
      <w:color w:val="0072BC" w:themeColor="hyperlink"/>
      <w:u w:val="single"/>
    </w:rPr>
  </w:style>
  <w:style w:type="character" w:styleId="Enfasiintensa">
    <w:name w:val="Intense Emphasis"/>
    <w:uiPriority w:val="99"/>
    <w:semiHidden/>
    <w:qFormat/>
    <w:rsid w:val="00FC71C0"/>
    <w:rPr>
      <w:b/>
      <w:bCs/>
    </w:rPr>
  </w:style>
  <w:style w:type="paragraph" w:styleId="Citazioneintensa">
    <w:name w:val="Intense Quote"/>
    <w:basedOn w:val="Normale"/>
    <w:next w:val="Normale"/>
    <w:link w:val="CitazioneintensaCarattere"/>
    <w:uiPriority w:val="99"/>
    <w:semiHidden/>
    <w:qFormat/>
    <w:rsid w:val="00FC71C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C71C0"/>
    <w:rPr>
      <w:rFonts w:eastAsiaTheme="minorEastAsia"/>
      <w:b/>
      <w:bCs/>
      <w:i/>
      <w:iCs/>
      <w:lang w:bidi="en-US"/>
    </w:rPr>
  </w:style>
  <w:style w:type="character" w:styleId="Riferimentointenso">
    <w:name w:val="Intense Reference"/>
    <w:uiPriority w:val="99"/>
    <w:semiHidden/>
    <w:qFormat/>
    <w:rsid w:val="00FC71C0"/>
    <w:rPr>
      <w:smallCaps/>
      <w:spacing w:val="5"/>
      <w:u w:val="single"/>
    </w:rPr>
  </w:style>
  <w:style w:type="paragraph" w:styleId="Paragrafoelenco">
    <w:name w:val="List Paragraph"/>
    <w:basedOn w:val="Normale"/>
    <w:uiPriority w:val="99"/>
    <w:semiHidden/>
    <w:qFormat/>
    <w:rsid w:val="00FC71C0"/>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FC71C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C71C0"/>
    <w:rPr>
      <w:rFonts w:eastAsiaTheme="minorEastAsia"/>
      <w:i/>
      <w:iCs/>
      <w:lang w:bidi="en-US"/>
    </w:rPr>
  </w:style>
  <w:style w:type="character" w:styleId="Riferimentodelicato">
    <w:name w:val="Subtle Reference"/>
    <w:uiPriority w:val="99"/>
    <w:semiHidden/>
    <w:qFormat/>
    <w:rsid w:val="00FC71C0"/>
    <w:rPr>
      <w:smallCaps/>
    </w:rPr>
  </w:style>
  <w:style w:type="table" w:styleId="Grigliatabella">
    <w:name w:val="Table Grid"/>
    <w:basedOn w:val="Tabellanormale"/>
    <w:uiPriority w:val="59"/>
    <w:semiHidden/>
    <w:rsid w:val="00FC71C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FC71C0"/>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FC71C0"/>
    <w:pPr>
      <w:spacing w:after="60"/>
      <w:ind w:left="680" w:right="340" w:hanging="340"/>
    </w:pPr>
  </w:style>
  <w:style w:type="paragraph" w:styleId="Sommario3">
    <w:name w:val="toc 3"/>
    <w:basedOn w:val="Normale"/>
    <w:next w:val="Normale"/>
    <w:autoRedefine/>
    <w:uiPriority w:val="99"/>
    <w:semiHidden/>
    <w:rsid w:val="00FC71C0"/>
    <w:pPr>
      <w:spacing w:after="60"/>
      <w:ind w:left="1020" w:right="340" w:hanging="340"/>
    </w:pPr>
  </w:style>
  <w:style w:type="paragraph" w:styleId="Sommario4">
    <w:name w:val="toc 4"/>
    <w:basedOn w:val="Normale"/>
    <w:next w:val="Normale"/>
    <w:autoRedefine/>
    <w:uiPriority w:val="99"/>
    <w:semiHidden/>
    <w:rsid w:val="00FC71C0"/>
    <w:pPr>
      <w:tabs>
        <w:tab w:val="right" w:leader="dot" w:pos="9017"/>
      </w:tabs>
      <w:spacing w:after="60"/>
      <w:ind w:left="1361" w:right="340" w:hanging="340"/>
    </w:pPr>
  </w:style>
  <w:style w:type="paragraph" w:styleId="Sommario5">
    <w:name w:val="toc 5"/>
    <w:basedOn w:val="Normale"/>
    <w:next w:val="Normale"/>
    <w:autoRedefine/>
    <w:uiPriority w:val="99"/>
    <w:semiHidden/>
    <w:rsid w:val="00FC71C0"/>
    <w:pPr>
      <w:spacing w:after="60"/>
      <w:ind w:left="1701" w:right="340" w:hanging="340"/>
    </w:pPr>
  </w:style>
  <w:style w:type="paragraph" w:styleId="Titolosommario">
    <w:name w:val="TOC Heading"/>
    <w:basedOn w:val="Titolo1"/>
    <w:next w:val="Normale"/>
    <w:uiPriority w:val="99"/>
    <w:semiHidden/>
    <w:qFormat/>
    <w:rsid w:val="00FC71C0"/>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C71C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FC71C0"/>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C71C0"/>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FC71C0"/>
    <w:pPr>
      <w:tabs>
        <w:tab w:val="center" w:pos="851"/>
        <w:tab w:val="center" w:pos="6407"/>
      </w:tabs>
      <w:spacing w:before="720"/>
      <w:jc w:val="left"/>
    </w:pPr>
  </w:style>
  <w:style w:type="paragraph" w:customStyle="1" w:styleId="JuParaLast">
    <w:name w:val="Ju_Para_Last"/>
    <w:basedOn w:val="Normale"/>
    <w:next w:val="ECHRPara"/>
    <w:uiPriority w:val="30"/>
    <w:qFormat/>
    <w:rsid w:val="00FC71C0"/>
    <w:pPr>
      <w:keepNext/>
      <w:keepLines/>
      <w:spacing w:before="240"/>
      <w:ind w:firstLine="284"/>
    </w:pPr>
  </w:style>
  <w:style w:type="paragraph" w:customStyle="1" w:styleId="JuCase">
    <w:name w:val="Ju_Case"/>
    <w:basedOn w:val="Normale"/>
    <w:next w:val="ECHRPara"/>
    <w:uiPriority w:val="10"/>
    <w:rsid w:val="00FC71C0"/>
    <w:pPr>
      <w:ind w:firstLine="284"/>
    </w:pPr>
    <w:rPr>
      <w:b/>
    </w:rPr>
  </w:style>
  <w:style w:type="paragraph" w:customStyle="1" w:styleId="JuList">
    <w:name w:val="Ju_List"/>
    <w:basedOn w:val="Normale"/>
    <w:uiPriority w:val="28"/>
    <w:qFormat/>
    <w:rsid w:val="00FC71C0"/>
    <w:pPr>
      <w:ind w:left="340" w:hanging="340"/>
    </w:pPr>
  </w:style>
  <w:style w:type="character" w:customStyle="1" w:styleId="JuITMark">
    <w:name w:val="Ju_ITMark"/>
    <w:basedOn w:val="Carpredefinitoparagrafo"/>
    <w:uiPriority w:val="38"/>
    <w:qFormat/>
    <w:rsid w:val="00FC71C0"/>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FC71C0"/>
    <w:pPr>
      <w:ind w:left="346" w:firstLine="0"/>
    </w:pPr>
  </w:style>
  <w:style w:type="paragraph" w:customStyle="1" w:styleId="JuListi">
    <w:name w:val="Ju_List_i"/>
    <w:basedOn w:val="Normale"/>
    <w:next w:val="JuLista"/>
    <w:uiPriority w:val="28"/>
    <w:qFormat/>
    <w:rsid w:val="00FC71C0"/>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FC71C0"/>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FC71C0"/>
  </w:style>
  <w:style w:type="paragraph" w:styleId="Sottotitolo">
    <w:name w:val="Subtitle"/>
    <w:basedOn w:val="Normale"/>
    <w:next w:val="Normale"/>
    <w:link w:val="SottotitoloCarattere"/>
    <w:uiPriority w:val="99"/>
    <w:semiHidden/>
    <w:qFormat/>
    <w:rsid w:val="00FC71C0"/>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FC71C0"/>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ECHRParaChar">
    <w:name w:val="ECHR_Para Char"/>
    <w:aliases w:val="Ju_Para Char"/>
    <w:link w:val="ECHRPara"/>
    <w:uiPriority w:val="12"/>
    <w:rsid w:val="00A43DAC"/>
    <w:rPr>
      <w:rFonts w:eastAsiaTheme="minorEastAsia"/>
      <w:sz w:val="24"/>
    </w:rPr>
  </w:style>
  <w:style w:type="character" w:customStyle="1" w:styleId="JuH1Char">
    <w:name w:val="Ju_H_1. Char"/>
    <w:link w:val="ECHRHeading3"/>
    <w:uiPriority w:val="21"/>
    <w:rsid w:val="00A43DAC"/>
    <w:rPr>
      <w:rFonts w:asciiTheme="majorHAnsi" w:eastAsiaTheme="majorEastAsia" w:hAnsiTheme="majorHAnsi" w:cstheme="majorBidi"/>
      <w:bCs/>
      <w:i/>
      <w:sz w:val="24"/>
    </w:rPr>
  </w:style>
  <w:style w:type="character" w:customStyle="1" w:styleId="JuParaCar">
    <w:name w:val="Ju_Para Car"/>
    <w:uiPriority w:val="12"/>
    <w:rsid w:val="00615C4A"/>
    <w:rPr>
      <w:rFonts w:eastAsiaTheme="minorEastAsia"/>
      <w:sz w:val="24"/>
    </w:rPr>
  </w:style>
  <w:style w:type="paragraph" w:styleId="Revisione">
    <w:name w:val="Revision"/>
    <w:hidden/>
    <w:uiPriority w:val="99"/>
    <w:semiHidden/>
    <w:rsid w:val="000F384C"/>
    <w:rPr>
      <w:rFonts w:eastAsiaTheme="minorEastAsia"/>
      <w:sz w:val="24"/>
    </w:rPr>
  </w:style>
  <w:style w:type="paragraph" w:customStyle="1" w:styleId="JuCourt">
    <w:name w:val="Ju_Court"/>
    <w:basedOn w:val="Normale"/>
    <w:next w:val="Normale"/>
    <w:uiPriority w:val="16"/>
    <w:qFormat/>
    <w:rsid w:val="00FC71C0"/>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rsid w:val="00FC71C0"/>
    <w:pPr>
      <w:spacing w:before="240"/>
      <w:ind w:left="284"/>
    </w:pPr>
  </w:style>
  <w:style w:type="paragraph" w:customStyle="1" w:styleId="OpiH1">
    <w:name w:val="Opi_H_1"/>
    <w:basedOn w:val="ECHRHeading2"/>
    <w:uiPriority w:val="42"/>
    <w:qFormat/>
    <w:rsid w:val="00FC71C0"/>
    <w:pPr>
      <w:ind w:left="635" w:hanging="357"/>
      <w:outlineLvl w:val="2"/>
    </w:pPr>
  </w:style>
  <w:style w:type="paragraph" w:customStyle="1" w:styleId="OpiHa0">
    <w:name w:val="Opi_H_a"/>
    <w:basedOn w:val="ECHRHeading3"/>
    <w:uiPriority w:val="43"/>
    <w:qFormat/>
    <w:rsid w:val="00FC71C0"/>
    <w:pPr>
      <w:ind w:left="833" w:hanging="357"/>
      <w:outlineLvl w:val="3"/>
    </w:pPr>
    <w:rPr>
      <w:b/>
      <w:i w:val="0"/>
      <w:sz w:val="20"/>
    </w:rPr>
  </w:style>
  <w:style w:type="paragraph" w:customStyle="1" w:styleId="OpiHi">
    <w:name w:val="Opi_H_i"/>
    <w:basedOn w:val="ECHRHeading4"/>
    <w:uiPriority w:val="44"/>
    <w:qFormat/>
    <w:rsid w:val="00FC71C0"/>
    <w:pPr>
      <w:ind w:left="1037" w:hanging="357"/>
      <w:outlineLvl w:val="4"/>
    </w:pPr>
    <w:rPr>
      <w:b w:val="0"/>
      <w:i/>
    </w:rPr>
  </w:style>
  <w:style w:type="paragraph" w:customStyle="1" w:styleId="DummyStyle">
    <w:name w:val="Dummy_Style"/>
    <w:basedOn w:val="Normale"/>
    <w:semiHidden/>
    <w:qFormat/>
    <w:rsid w:val="00FC71C0"/>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631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BAA5-1EE7-471A-A756-E848970E7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704D6-BEA9-408D-A4AA-F6D18832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64D389-E2FF-4324-B548-C63E4B96C7A5}">
  <ds:schemaRefs>
    <ds:schemaRef ds:uri="http://schemas.microsoft.com/sharepoint/v3/contenttype/forms"/>
  </ds:schemaRefs>
</ds:datastoreItem>
</file>

<file path=customXml/itemProps4.xml><?xml version="1.0" encoding="utf-8"?>
<ds:datastoreItem xmlns:ds="http://schemas.openxmlformats.org/officeDocument/2006/customXml" ds:itemID="{6B89810A-5823-4E81-8C5F-7AF72DE9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5048</Words>
  <Characters>27770</Characters>
  <Application>Microsoft Office Word</Application>
  <DocSecurity>0</DocSecurity>
  <Lines>231</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2</cp:revision>
  <cp:lastPrinted>2014-12-15T13:55:00Z</cp:lastPrinted>
  <dcterms:created xsi:type="dcterms:W3CDTF">2015-01-20T08:52:00Z</dcterms:created>
  <dcterms:modified xsi:type="dcterms:W3CDTF">2015-01-20T08:52:00Z</dcterms:modified>
  <cp:category>ECHR Template</cp:category>
</cp:coreProperties>
</file>